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651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5379"/>
      </w:tblGrid>
      <w:tr w:rsidR="000C449D" w:rsidRPr="000C449D" w14:paraId="1438F044" w14:textId="77777777" w:rsidTr="000C449D">
        <w:trPr>
          <w:jc w:val="right"/>
        </w:trPr>
        <w:tc>
          <w:tcPr>
            <w:tcW w:w="11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C7995" w14:textId="77777777" w:rsidR="000C449D" w:rsidRPr="000C449D" w:rsidRDefault="000C449D" w:rsidP="0072330B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0C449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37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138B3" w14:textId="77777777" w:rsidR="000C449D" w:rsidRPr="000C449D" w:rsidRDefault="000C449D" w:rsidP="0072330B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0C449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عشر ذي الحجة فضائل وأحكام</w:t>
            </w:r>
          </w:p>
        </w:tc>
      </w:tr>
      <w:tr w:rsidR="000C449D" w:rsidRPr="000C449D" w14:paraId="27179C2D" w14:textId="77777777" w:rsidTr="000C449D">
        <w:trPr>
          <w:jc w:val="right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60DE2" w14:textId="77777777" w:rsidR="000C449D" w:rsidRPr="000C449D" w:rsidRDefault="000C449D" w:rsidP="0072330B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0C449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F853F" w14:textId="77777777" w:rsidR="000C449D" w:rsidRPr="000C449D" w:rsidRDefault="000C449D" w:rsidP="0072330B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0C449D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1- </w:t>
            </w:r>
            <w:r w:rsidRPr="000C449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أهمية اغتنام العمر في الخيرات. 2- من حكمة الله في المفاضلة بين الأزمنة. 3-فضل أيام عشر ذي الحجة. 4- أهم أعمال العشر</w:t>
            </w:r>
            <w:r w:rsidRPr="000C449D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14:paraId="4FCF3F77" w14:textId="77777777" w:rsidR="000C449D" w:rsidRPr="000C449D" w:rsidRDefault="000C449D" w:rsidP="000C449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14:paraId="5CC29F41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الحَمدُ لِلَّهِ الَّذِي يَصطَفِي مِنَ الأَيَّامِ وَالشُّهُورِ مَا يَشَاءُ وَيَختَارُ، وَيَختَصُّ مِنَ الأَزمَنَةِ بِالفَضَائِلِ 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ما يُرِيدُ؛ 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رَحمَةً مِنهُ وَتَذكِرَةً لِأَولِي الأَبصَارِ، وَأَشهَدُ أَن لَا إِلَٰهَ إِلَّا اللَّهُ وَحدَهُ لَا شَرِيكَ لَهُ العَزِيزُ الغَفَّارُ، وَأَشهَدُ أَنَّ مُحَمَّدًا عَبدُهُ وَرَسُولُهُ المُصطَفَى المَختَارُ، صَلَّى اللَّهُ عَلَيهِ وَعَلَىٰ </w:t>
      </w:r>
      <w:proofErr w:type="spellStart"/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مَا تَعَاقَبَ اللَّيلُ وَالنَّهَارُ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  <w:t>.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أمّا ب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عد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:</w:t>
      </w:r>
    </w:p>
    <w:p w14:paraId="31647773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فَاتَّقُوا اللَّهَ -عِبَاد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اللَّهِ- حَقَّ التَّقوَى، وَرَاقِبُوهُ فِي السِّرّ وَالنَّجوَى: ﴿</w:t>
      </w:r>
      <w:r w:rsidRPr="000C449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يَا أَيُّهَا الَّذِينَ آمَنُوا اتَّقُوا اللَّهَ وَكُونُوا مَعَ الصَّادِقِينَ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764753C3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أَيُّهَا المُسلِمُونَ:</w:t>
      </w:r>
    </w:p>
    <w:p w14:paraId="296549A4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لَقَد جَعَلَ اللَّهُ الأَيَّامَ مُستَود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عًا لِلطَّاعَاتِ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وَمَحَلًّا لِلقُرُبَاتِ، وَجَعَلَ اللَّيلَ وَالنّهَارَ ﴿</w:t>
      </w:r>
      <w:r w:rsidRPr="000C449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خِلفَةً لِمَن أَرَادَ ان يَذّكّرَ أَو أَرَادَ شُكُورًا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2DC6DE56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وَإِنّ مِن مِنّةِ اللَّهِ تَعَالَى عَلَى عَبدِهِ المُؤمِنِ أَن يُوَفّقَهُ لِاغتِنَامِ فُرَصِ العُم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رِ، فَالعُم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رُ يَمضِي وَيَنصَرِمُ، وَلَيسَ لِابنِ آدَمَ مِنهُ إِلَّا مَا استَودَعَهُ فِيهِ مِن صَالِحِ العَمَلِ، قَالَ تَعَالَى: ﴿</w:t>
      </w:r>
      <w:r w:rsidRPr="000C449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وَسَارِعُوا إِلَى مَغفِرَةٍ مِن رَبِّكُم وَجَنَّةٍ عَرضُهَا السَّمَاوَاتُ وَالأَرضُ أُعِدّت</w:t>
      </w:r>
      <w:r w:rsidRPr="000C449D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لِلمُتَّقِينَ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414C6734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فَالسّعِيدُ مَن استَغَلَّ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الأَوقَات،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وَازدَادَ فِي مَوَاسِمِ الخَيرِ مِن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الطَّاعَاتِ، وَتَعَر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ّضَ فِيهَا لِنَفَحَاتِ 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ا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لرَّحَمَاتِ، فَاللَّيلُ وَالنَّهَارُ لَا يَنتَظِرَانِ، بَل يَتَعَاقَبَانِ وَلَا يُفتَرَانِ، وَالعُم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رُ أَمَانَةٌ سَي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سأَلُ العَبدُ عَنهَا يَومَ القِيَامَةِ، كَمَا قَالَ ﷺ: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لا تَز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ولُ قَدَمَا عَبدٍ يومَ القيامةِ، حتَّى يُسأَلَ ع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 عُمُرِه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؛ ف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يمَ أ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فناه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؟ وع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 عِلمِه؛ ف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عَلَ؟ وع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 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الِه؛ 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 أ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ين اكت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سَبَه؟ وف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أ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نفَقَه؟ وع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 جِسمِه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؛ ف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يمَ أ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بلاه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؟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». رَوَاهُ التِّرمِذِيُّ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B200730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lastRenderedPageBreak/>
        <w:t xml:space="preserve">وَقَالَ 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لِرَجُلٍ وَهُوَ يَعِظُهُ: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اغتَنِم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خَمسًا قَبلَ خَمسٍ: شَبَابَكَ قَبلَ هِرَمِكَ، وَصِحَّتَكَ قَبلَ سَقَمِكَ، وَغِنَاكَ قَبلَ فَقرِكَ، وَفَرَاغَكَ قَبلَ شُغلِكَ، وَحَيَاتَكَ قَبلَ مَوتِكَ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». رَوَاهُ النَّسَائِيُّ.</w:t>
      </w:r>
    </w:p>
    <w:p w14:paraId="06C0995A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color w:val="00B050"/>
          <w:sz w:val="28"/>
          <w:szCs w:val="28"/>
          <w:rtl/>
        </w:rPr>
        <w:t>عِبَاد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اللَّهِ:</w:t>
      </w:r>
    </w:p>
    <w:p w14:paraId="25C7CE2A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إِنَّ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 حِكمَةِ اللَّهِ سُبحَانَهُ وَتَعَالَى أَن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فَاض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لَ بَينَ الأَيَّامِ، فَمَنّ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عَلَينَا بِمَوَاسِمَ لِلعِبَادَةِ، ضَاعَفَ فِيهَا الأُجُورَ، وَشَرَعَ فِيهَا أَنوَاعَ الأَعمَالِ الصَّالِحَةِ، لِيَزدَادَ المُؤمِنُونَ رِفعَةً فِي دَرَجَا</w:t>
      </w: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تِهِم،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وَيَستَدرِك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المُقَصِّرُونَ مَا فَاتَ مِن زَلَاتِهِم.</w:t>
      </w:r>
    </w:p>
    <w:p w14:paraId="7D3CEB22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وَمِنَ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الأَيَّامِ الفَاضِلَةِ الَّتِي أَعلَى اللَّهُ شَأنَهَا، وَعَظّ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مَ أَم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هَا: أَيَّام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عَشرِ ذِي الحِجَّةِ، فَهِيَ أَيَّامٌ عَظِيمَةٌ مُبَارَكَةٌ، لَيسَ فِي الأَيَّامِ مَا يُمَاثِلُهَا، وَلَا فِي أُجُورِ الأَعمَالِ مَا يَعدِلُهَا.</w:t>
      </w:r>
    </w:p>
    <w:p w14:paraId="25157B4D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أَقسَمَ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رَبّ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نَا جَلَّ وَعَلَا بِهَا فَقَالَ: ﴿</w:t>
      </w:r>
      <w:r w:rsidRPr="000C449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وَالفَجر</w:t>
      </w:r>
      <w:r w:rsidRPr="000C449D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. وَلَيَال</w:t>
      </w:r>
      <w:r w:rsidRPr="000C449D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ٍ</w:t>
      </w:r>
      <w:r w:rsidRPr="000C449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عَشرٍ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 جَاءَ عَن جَابِرٍ رَضِيَ اللَّهُ عَنهُ أَنّهَا عَشرُ ذِي الحِجَّةِ.</w:t>
      </w:r>
    </w:p>
    <w:p w14:paraId="44280DDE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وَهِيَ الأَيَّامُ المَعلُومَاتُ الَّتِي أَخبَرَ اللَّهُ عَنهَا بِقَولِهِ: ﴿</w:t>
      </w:r>
      <w:r w:rsidRPr="000C449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لِيَشهَدُوا مَنَافِعَ لَهُم وَيَذكُرُوا اسمَ اللَّهِ فِي أَيَّامٍ مَعلُومَاتٍ عَلَى مَا رَزَقَهُم مِن بَهِيمَةِ الأَنعَام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ِ﴾. قَالَ ابنُ عَبَّاسٍ: أَيَّامُ العَشرِ.</w:t>
      </w:r>
    </w:p>
    <w:p w14:paraId="4FA8CFC5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وَقَد خَصّ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اللَّهُ هَذِهِ الأَيَّامَ بِأُجُورٍ كَبِيرَةٍ، وَرَتّبَ عَلَى الطَّاعَاتِ فِيهَا خَيرَات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ٍ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كَثِيرَة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ً،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فَكُلُّ عَمَلٍ صَالِح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ٍ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فِيهَا أَحَبّ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إِلَى اللَّهِ مِنهُ فِي غَيرِهَا، قَالَ 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ﷺ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 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أيَّامٍ العملُ الصَّالحُ ف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يه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نَّ أ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ح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بُّ إلى اللهِ 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 ه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ذه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الأيَّامِ الع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شرِ. ق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الوا: يا ر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س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ولَ اللهِ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!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ولا الج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هادُ ف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 س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ب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يلِ اللهِ؟ ف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ق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ال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ر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س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ولُ اللهِ ص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لَّى اللهُ ع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ليه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وس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لَّم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: ولا الج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ه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ادُ ف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 س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بيلِ اللهِ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إلَّا ر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ج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ٌ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خ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ج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ب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فسِه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الِه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رجِع 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 ذ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ك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ب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ش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يءٍ</w:t>
      </w:r>
      <w:r w:rsidRPr="000C449D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</w:rPr>
        <w:t>»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. رَوَاهُ التِّرمِذِيُّ.</w:t>
      </w:r>
    </w:p>
    <w:p w14:paraId="1A379568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pacing w:val="-4"/>
          <w:sz w:val="28"/>
          <w:szCs w:val="28"/>
          <w:rtl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spacing w:val="-4"/>
          <w:sz w:val="28"/>
          <w:szCs w:val="28"/>
          <w:rtl/>
        </w:rPr>
        <w:t>وَفِي</w:t>
      </w:r>
      <w:r w:rsidRPr="000C449D">
        <w:rPr>
          <w:rFonts w:ascii="Traditional Arabic" w:eastAsia="Times New Roman" w:hAnsi="Traditional Arabic" w:cs="Traditional Arabic"/>
          <w:b/>
          <w:bCs/>
          <w:spacing w:val="-4"/>
          <w:sz w:val="28"/>
          <w:szCs w:val="28"/>
          <w:rtl/>
        </w:rPr>
        <w:t xml:space="preserve"> رِوَايَةٍ:</w:t>
      </w:r>
      <w:r w:rsidRPr="000C449D">
        <w:rPr>
          <w:rFonts w:ascii="Traditional Arabic" w:eastAsia="Times New Roman" w:hAnsi="Traditional Arabic" w:cs="Traditional Arabic" w:hint="cs"/>
          <w:b/>
          <w:bCs/>
          <w:spacing w:val="-4"/>
          <w:sz w:val="28"/>
          <w:szCs w:val="28"/>
          <w:rtl/>
        </w:rPr>
        <w:t xml:space="preserve"> </w:t>
      </w:r>
      <w:r w:rsidRPr="000C449D">
        <w:rPr>
          <w:rFonts w:ascii="Traditional Arabic" w:eastAsia="Times New Roman" w:hAnsi="Traditional Arabic" w:cs="Traditional Arabic"/>
          <w:b/>
          <w:bCs/>
          <w:spacing w:val="-4"/>
          <w:sz w:val="28"/>
          <w:szCs w:val="28"/>
          <w:rtl/>
        </w:rPr>
        <w:t>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مَا مِن عَمَلٍ أَزكَى عِندَ اللَّهِ عَزَّ وَجَلَّ، وَلَا أَعظَم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أَجرًاً مِن خَيرٍ يَعمَلُهُ فِي ع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شرِ </w:t>
      </w:r>
      <w:proofErr w:type="spellStart"/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الأَضحَى</w:t>
      </w:r>
      <w:proofErr w:type="spellEnd"/>
      <w:r w:rsidRPr="000C449D">
        <w:rPr>
          <w:rFonts w:ascii="Traditional Arabic" w:eastAsia="Times New Roman" w:hAnsi="Traditional Arabic" w:cs="Traditional Arabic"/>
          <w:b/>
          <w:bCs/>
          <w:spacing w:val="-4"/>
          <w:sz w:val="28"/>
          <w:szCs w:val="28"/>
          <w:rtl/>
        </w:rPr>
        <w:t>»</w:t>
      </w:r>
      <w:r w:rsidRPr="000C449D">
        <w:rPr>
          <w:rFonts w:ascii="Traditional Arabic" w:eastAsia="Times New Roman" w:hAnsi="Traditional Arabic" w:cs="Traditional Arabic" w:hint="cs"/>
          <w:b/>
          <w:bCs/>
          <w:spacing w:val="-4"/>
          <w:sz w:val="28"/>
          <w:szCs w:val="28"/>
          <w:rtl/>
        </w:rPr>
        <w:t>.</w:t>
      </w:r>
      <w:r w:rsidRPr="000C449D">
        <w:rPr>
          <w:rFonts w:ascii="Traditional Arabic" w:eastAsia="Times New Roman" w:hAnsi="Traditional Arabic" w:cs="Traditional Arabic"/>
          <w:b/>
          <w:bCs/>
          <w:spacing w:val="-4"/>
          <w:sz w:val="28"/>
          <w:szCs w:val="28"/>
          <w:rtl/>
        </w:rPr>
        <w:t xml:space="preserve"> رَوَاهُ الدَّارِمِيُّ.</w:t>
      </w:r>
    </w:p>
    <w:p w14:paraId="616B6C47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lastRenderedPageBreak/>
        <w:t>وَقَد خُصّ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ت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هَذِهِ الأَيَّامُ الفَوَاضِلُ بِهَذِهِ الفَضَائِلِ لِاجتِمَاعِ أُمَّهَاتِ العِبَادَةِ فِيهَا؛ مِن صَلَاةٍ وَصِيَامٍ وَزَكَاةٍ وَحَجّ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ٍ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، وَذَلِكَ لَا يَتَأَتّ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ى فِي غَيرِهَا، وَلِأَنّ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فِي أَيَّامِهَا مَا لَيسَ فِي مِثلِهَا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</w:t>
      </w:r>
    </w:p>
    <w:p w14:paraId="7125D427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فَاليَومُ الثَّامِنُ مِنهَا هُوَ يَومُ التَّروِيَةِ، مُبتَدَأُ أَعمَالِ الحَجِّ، فِيهِ يُهِلّ الحُجَّاجُ وَيُلَبّ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ونَ، وَمِنهُ إِلَى مِن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َى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وَعَرَفَةَ يَنطَلِقُونَ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</w:t>
      </w:r>
    </w:p>
    <w:p w14:paraId="5348DFBE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وَاليَومُ التَّاسِعُ مِنهَا هُوَ يَومُ عَرَفَةَ، وَهُوَ يَومٌ عَظِيمٌ، قَالَ عَنهُ 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ﷺ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مَ</w:t>
      </w:r>
      <w:r w:rsidRPr="000C449D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ا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مِن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يَومٍ أَكثَر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مِن أَن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عتِقَ اللَّهُ عَزَّ وَجَلَّ فِيهِ عَبد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ً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 مِن النَّارِ، مِن يَومِ عَرَفَةَ، وَإِنَّهُ لَيَدنُو ثُمَّ يُبَاهِي بِهِم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المَلَائِكَةَ، فَيَقُولُ: مَا أَرَادَ هَؤُلَاءِ؟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»، رَوَاهُ مُسلِمٌ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وَقَالَ 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ﷺ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خَيرُ الدّعَاءِ </w:t>
      </w:r>
      <w:r w:rsidRPr="000C449D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دُعَاءُ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يَومِ عَرَفَةَ، وَخَيرُ مَا قُلتُ أَنَا وَالنَّبِيُّونَ مِن قَبلِي: لَا إِلَهَ إِلَّا اللَّهُ وَحدَهُ لَا شَرِيكَ لَهُ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لَهُ المُلكُ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وَلَهُ الحَمدُ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وَهُوَ عَلَى كُلِّ شَيءٍ قَدِيرٌ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». رَوَاهُ التِّرمِذِيُّ، وَصِيَامُ يَومِ عَرَفَةَ، يُكَ</w:t>
      </w:r>
      <w:r w:rsidRPr="000C449D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</w:rPr>
        <w:t>فّرُ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سَنَتَينِ: المَاضِيَةَ وَالقَادِمَة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.</w:t>
      </w:r>
    </w:p>
    <w:p w14:paraId="2DBC545E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وَاليَومُ العَاشِرُ مِن هَذِهِ العَشرِ هُوَ يَومُ النَّحرِ، وَقَد قَالَ 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ﷺ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إِنَّ أَعظَمَ الأَيَّامِ عِندَ اللَّهِ تَبَارَكَ وَتَعَالَى يَوم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النَّحرِ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» رَوَاهُ أَبُو دَاوُدَ.</w:t>
      </w:r>
    </w:p>
    <w:p w14:paraId="2CFD538C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</w:rPr>
        <w:t>فَهِيَ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-كَمَا نَرَى- أَيَّامٌ مُبَارَكَة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ٌ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، وَأَوقَات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ٌ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بِالخَيرِ عَامِرَةٌ، فَاَللَّه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اللَّه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فِي الرُّجُوعِ إِلَى اللَّهِ تَعَالَى </w:t>
      </w:r>
      <w:r w:rsidRPr="000C449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بِ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التَّوبَةِ وَالِاجتِهَادِ فِي هَذِهِ الأَزمِنَةِ المُبَارَكَةِ الفَاضِلَةِ: ﴿</w:t>
      </w:r>
      <w:r w:rsidRPr="000C449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وَتَزَوّدُوا فَإِنّ خَيرَ الزَّا</w:t>
      </w:r>
      <w:r w:rsidRPr="000C449D">
        <w:rPr>
          <w:rFonts w:ascii="Traditional Arabic" w:eastAsia="Times New Roman" w:hAnsi="Traditional Arabic" w:cs="Traditional Arabic" w:hint="eastAsia"/>
          <w:b/>
          <w:bCs/>
          <w:color w:val="C00000"/>
          <w:sz w:val="28"/>
          <w:szCs w:val="28"/>
          <w:rtl/>
        </w:rPr>
        <w:t>دِ</w:t>
      </w:r>
      <w:r w:rsidRPr="000C449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التَّقوَى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﴾.</w:t>
      </w:r>
    </w:p>
    <w:p w14:paraId="0D7ADA95" w14:textId="77777777" w:rsidR="000C449D" w:rsidRPr="000C449D" w:rsidRDefault="000C449D" w:rsidP="000C449D">
      <w:pPr>
        <w:bidi/>
        <w:spacing w:after="120" w:line="240" w:lineRule="auto"/>
        <w:ind w:firstLine="281"/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</w:rPr>
        <w:t>بَارَكَ</w:t>
      </w:r>
      <w:r w:rsidRPr="000C44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اللَّهُ لِي وَلَكُم فِي القُرآنِ العَظِيمِ، وَنَفَعنَا بِمَا فِيهِ مِن الآيَاتِ وَالذِّكرِ الحَكِيمِ، أَقُولُ قَولِي هَذَا وَأَستَغفِرُ اللَّهَ لِي وَلَكُم فَاستَغفِرُوهُ، فَيَا فَوزَ المُستَغفِرِينَ.</w:t>
      </w:r>
    </w:p>
    <w:p w14:paraId="3D204CDD" w14:textId="77777777" w:rsidR="000C449D" w:rsidRPr="000C449D" w:rsidRDefault="000C449D" w:rsidP="000C449D">
      <w:pPr>
        <w:bidi/>
        <w:spacing w:after="120" w:line="240" w:lineRule="auto"/>
        <w:ind w:firstLine="281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0C449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      </w:t>
      </w:r>
      <w:r w:rsidRPr="000C449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0C449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      </w:t>
      </w:r>
      <w:r w:rsidRPr="000C449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p w14:paraId="1B317FBF" w14:textId="77777777" w:rsidR="000C449D" w:rsidRPr="000C449D" w:rsidRDefault="000C449D" w:rsidP="000C449D">
      <w:pPr>
        <w:bidi/>
        <w:spacing w:after="120" w:line="240" w:lineRule="auto"/>
        <w:ind w:firstLine="281"/>
        <w:jc w:val="center"/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الخطبة الثانية</w:t>
      </w:r>
    </w:p>
    <w:p w14:paraId="54FE8479" w14:textId="77777777" w:rsidR="000C449D" w:rsidRPr="000C449D" w:rsidRDefault="000C449D" w:rsidP="000C449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الحَمدُ لِلَّهِ، وَالصّلَاةُ وَالسّلَامُ عَلَى رَسُولِ اللَّهِ، وَعَلَى </w:t>
      </w:r>
      <w:proofErr w:type="spellStart"/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وَمَن وَالَاهُ، وَبَعدُ:</w:t>
      </w:r>
    </w:p>
    <w:p w14:paraId="432CF7BD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color w:val="00B050"/>
          <w:sz w:val="28"/>
          <w:szCs w:val="28"/>
          <w:rtl/>
        </w:rPr>
        <w:lastRenderedPageBreak/>
        <w:t>عِبَاد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اللَّهِ:</w:t>
      </w:r>
    </w:p>
    <w:p w14:paraId="2F28E913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إِنّ مِن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أَعظَمِ الأَعمَالِ الَّتِي يَنبَغِي لِلعَبدِ أَن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يَحرِصَ عَلَيهَا فِي هَذِهِ العَشرِ: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تَجدِيدَ النِّيَّةِ وَإِخلَاص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العَمَلِ لِلَّهِ تَبَارَكَ وَتَعَالَى، فَيَحرِصُ العَبدُ كُلَّ الحِرصِ أَن تَكُونَ سَكَنَاتُهُ وَحَرَكَاتُهُ لِلَّهِ ع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ز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َّ 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وجَلَّ، وَتَكُون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أَعمَالُهُ مُرَادًا بِهَا وَجهُهُ سُبحَانَهُ، مُتَّبِعًا فِيهَا سُنَّةَ نَبِيِّهِ 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قَالَ تَعَالَى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في الحَديثِ القُدسِيّ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أَنَا أَغنَى الشُّرَكَاءِ عَنِ الشِّركِ، مَن عَمِلَ عَمَلًا أ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شر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كَ فِيهِ مَعِي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غَيرِي تَرَكتُهُ وَشِركَهُ</w:t>
      </w: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»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رَوَاهُ مُسلِم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4F824875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color w:val="00B050"/>
          <w:sz w:val="28"/>
          <w:szCs w:val="28"/>
          <w:rtl/>
        </w:rPr>
        <w:t>وَمِمَّا</w:t>
      </w: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يُشرَعُ مِن الأَعمَالِ فِي هَذِهِ العَشرِ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: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المُحَافِظَة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عَلَى الفَرَائِضِ وَالوَاجِبَاتِ، قَالَ اللَّهُ تَعَالَى فِي الحَدِيثِ القُدسِيّ: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وَمَا تَقَرّ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بَ إِلَيّ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عَبدِي بِشَيءٍ أَحَبّ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إِلَيّ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مِمَّا افتَرَضتُهُ عَلَيهِ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...</w:t>
      </w: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»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الحَدِيثَ. </w:t>
      </w: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رَوَاهُ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البُخَارِيُّ.</w:t>
      </w:r>
    </w:p>
    <w:p w14:paraId="54228014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color w:val="00B050"/>
          <w:sz w:val="28"/>
          <w:szCs w:val="28"/>
          <w:rtl/>
        </w:rPr>
        <w:t>وَمِمَّا</w:t>
      </w: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يُشرَعُ كَذَلِكَ فِي هَذِهِ الع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شرِ: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الصِّيَامُ، قَالَت حَفصَةُ رَضِيَ اللَّهُ عَنهَا: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أَربَعٌ لَم يَكُن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يَدَعُهُنَّ النَّبِيُّ ‏ﷺ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: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‏صِيَامَ ‏ ‏عَاشُورَاءَ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‏ ‏وَالعَشر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ِ،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وَثَلَاثَة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أَيَّامٍ مِن كُلِّ شَهرٍ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وَالرَّكعَتَينِ قَبلَ ‏الغَدَاة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ِ‏</w:t>
      </w: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»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 رَوَاهُ أَحمَدُ</w:t>
      </w:r>
    </w:p>
    <w:p w14:paraId="4A98555C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وَمِمَّا يُشرَعُ كَذَلِكَ فِي هَذِهِ الأَيَّامِ الفَاضِلَةِ: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كَثرَةُ الذِّكرِ وَالتَّهلِيلِ وَالتَّسبِيحِ وَالتَّكبِيرِ وَالتَّحمِيدِ، قَالَ رَسُولُ اللَّهِ 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مَا مِن أَيَّامٍ أَعظَمُ عِندَ اللَّهِ، وَلَا أ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حَبُّ إِلَيهِ العَمَل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فِيهِنَّ، مِن هَذِهِ الأَيَّامِ العَشرِ، فَأَكثِرُوا فِيهِنَّ مِن التَّهلِيلِ وَالتَّكبِيرِ وَالتَّحمِيدِ</w:t>
      </w: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»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 رَوَاهُ أَحمَدُ.</w:t>
      </w:r>
    </w:p>
    <w:p w14:paraId="510F78F2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(وَكَانَ ابنُ عُمَرَ وَأَبُو هُرَيرَةَ رَضِيَ اللَّهُ عَنهُمَا يَخرُجَانِ إِلَى السُّوقِ فِي أَيَّامِ العَشرِ يُكَبّرَانِ، وَيُكَبّرُ النَّاسُ بِتَكبِيرِهِمَا).</w:t>
      </w:r>
    </w:p>
    <w:p w14:paraId="599FC38A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وَالتَّكبِيرُ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النَّافِعُ، هُوَ مَا وَاطَأَ فِيهِ القَلبُ اللِّسَانَ، بِأَ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لّا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يَكُونَ فِي القَلبِ أَكبَرُ مِن اللَّهِ فِي خَلقِهِ وَتَدبِيرِهِ، وَلَا أَحَدَ أَكبَر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مِنهُ فِي حُكمِهِ وَتَشرِيعِهِ، وَلَا أَحَدَ أَكبَرُ مِنهُ فِي تَعظِيمِهِ وَتَمجِي</w:t>
      </w: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دِهِ،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وَلَا أَحَدَ أَكبَر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مِنهُ فِي مَحَبّتِهِ وَخَشيَتِهِ، فَهَذَا تَكبِيرُ المُؤمِنِينَ الَّذِي يَملَأُ قُلُوبَهُم إِسلَامًا وَإِيمَانًا، وَيَزدَادُونَ بِهِ عَلَى الحَقّ ثَبَاتًا وَإِيقَانًا، وَيَنَالُونَ بِهِ مِن رَبّهِم فَضلًا وَرِضوَانًا.</w:t>
      </w:r>
    </w:p>
    <w:p w14:paraId="611D66FD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 w:hint="eastAsia"/>
          <w:b/>
          <w:bCs/>
          <w:color w:val="00B050"/>
          <w:sz w:val="28"/>
          <w:szCs w:val="28"/>
          <w:rtl/>
        </w:rPr>
        <w:lastRenderedPageBreak/>
        <w:t>وَمِمّا</w:t>
      </w: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يُشرَعُ فِي هَذِهِ الع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شرِ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: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الأُضحِي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ةُ فِي يَومِ النَّحرِ، وَيُسَنّ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لِمَن أَرَادَ أَن يُضَحّيَ أَ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ن لا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يَأخُذَ مِن شَعرِهِ وَلَا أَظفَارِهِ شَيئًا مِن دُخُولِ شَهرِ ذِي الحِجَّة إِلَى أَن يُضَحّيَ، فَعَن أُمِّ سَلَمَةَ رَضِيَ ا</w:t>
      </w: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للَّهُ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عَنهَا أَنَّ النَّبِيَّ 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قَالَ: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إِذَا رَأَيتُم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هِلَالَ ذِي الحِجَّةِ وَأَرَادَ أَحَدُكُم أَن يُضَحّيَ فَليُمسِك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عَن شَعرِهِ وَأَظفَارِهِ حَتَّى يُضَحّيَ</w:t>
      </w:r>
      <w:r w:rsidRPr="000C449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»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رَوَاهُ مُسلِم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ٌ، 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وَفِي رِوَايَةٍ عِندَهُ أَيضًا: «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فَلَا يَمَسَّ مِن شَعرِهِ وَبَش</w:t>
      </w:r>
      <w:r w:rsidRPr="000C449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0C449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رِهِ شَيئًا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».</w:t>
      </w:r>
    </w:p>
    <w:p w14:paraId="4004DA4B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فَاستَعِينُوا بِاللَّهِ عَلَى اغتِنَامِ ع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شرِكُم، وَج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دّ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وا وَاجتَهِدُوا، فَمَا هِيَ إِلَّا أَيَّامٌ قَلِيلَةٌ، يَنقَضِي تَعَبُهَا، وَيَبقَى عَظِيمُ أَجرِهَا.</w:t>
      </w:r>
    </w:p>
    <w:p w14:paraId="153735AE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ثُمّ صَلّ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وا وَسَلّ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مُوا عَلَى المَبعُوثِ رَحمَةً لِلعَالَمِينَ، اللَّهُمَّ صَلّ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وَسَلّ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عَلَى نَبِيّنَا مُحَمَّدٍ وَعَلَى </w:t>
      </w:r>
      <w:proofErr w:type="spellStart"/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أَجمَعِينَ.</w:t>
      </w:r>
    </w:p>
    <w:p w14:paraId="0213242A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اللَّهُمَّ ارزُق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نَا اغتِنَامَ المَوَاسِمِ الفَاضِلَةِ بِالعَمَلِ الصَّالِحِ المُقَرّ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بِ إِلَيكَ، وَزَوّ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د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نَا بِالتَّقوَى لِلقِيَامِ بَينَ يَدَيكَ، وَاغفِر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لَنَا وَلِوَالِد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ينَا وَلِجَمِيعِ المُسلِمِينَ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إِنَّكَ أَنتَ الغَفُورُ الرَّحِيمُ، رَبَّنَا لَا تُزِغ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قُلُوبَنَا بَعدَ إِذ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هَدَيتَنَا، وَهَب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لَنَا مِن لَدُنكَ رَحمَةً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إِنَّكَ أَنتَ الوَهّابُ، يَا مُقَلّبَ القُلُوبِ ثَبّت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قُلُوب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نَا عَلَى دِينِكَ. اللَّهُمَّ ثَ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ـ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ب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ـ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ت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نَا بِالقَولِ الثَّابِتِ فِي الحَيَاةِ الدُّنيَا وَفِي الآخِرَةِ. اللَّهُمَّ إِنَّا نَعُوذُ بِكَ مِن الفِتَنِ، مَا ظَهَرَ مِنهَا وَمَا بَطَنَ.</w:t>
      </w:r>
    </w:p>
    <w:p w14:paraId="335F0B77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اللَّهُمَّ اغفِر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لِلمُسلِمِينَ وَالمُسلِمَاتِ، وَالمُؤمِنِينَ وَالمُؤمِنَاتِ، الأَحيَاء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مِنهُم وَالأَموَات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 اللَّهُمَّ وَفّق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وَلِيّ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أَمرِنَا ل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مَا تُحِبّ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وَتَرضَى، وَخُذ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بِنَاصِيَتِهِ لِلبِرِّ وَالتَّقوَى. رَبَّنَا آتِنَا فِي الدُّنيَا حَسَنَةً، وَفِي الآخِرَةِ حَسَنَة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ً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وَقِنَا عَذَابَ النَّارِ.</w:t>
      </w:r>
    </w:p>
    <w:p w14:paraId="6047B484" w14:textId="77777777" w:rsidR="000C449D" w:rsidRPr="000C449D" w:rsidRDefault="000C449D" w:rsidP="000C449D">
      <w:pPr>
        <w:bidi/>
        <w:spacing w:after="6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عِبَاد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0C449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اللَّهِ: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اُذكُرُوا اللَّهَ ذِكرًا كَثِيرًا، </w:t>
      </w:r>
      <w:proofErr w:type="spellStart"/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وَسَبّ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حُوهُ</w:t>
      </w:r>
      <w:proofErr w:type="spellEnd"/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بُكرَةً وَأَصِيلًا، وَآخ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رُ دَعوَانا أَنِ الحَمد</w:t>
      </w:r>
      <w:r w:rsidRPr="000C449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C449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لِلَّهِ رَبِّ العَالَمِينَ.</w:t>
      </w:r>
    </w:p>
    <w:p w14:paraId="77E072D3" w14:textId="70581B38" w:rsidR="002B1EB1" w:rsidRPr="000C449D" w:rsidRDefault="000C449D" w:rsidP="000C449D">
      <w:pPr>
        <w:bidi/>
        <w:spacing w:after="60" w:line="240" w:lineRule="auto"/>
        <w:ind w:firstLine="284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0C449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0C449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      </w:t>
      </w:r>
      <w:r w:rsidRPr="000C449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0C449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      </w:t>
      </w:r>
      <w:r w:rsidRPr="000C449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sectPr w:rsidR="002B1EB1" w:rsidRPr="000C449D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D03D" w14:textId="77777777" w:rsidR="00495EAF" w:rsidRDefault="00495EAF" w:rsidP="00506655">
      <w:pPr>
        <w:spacing w:after="0" w:line="240" w:lineRule="auto"/>
      </w:pPr>
      <w:r>
        <w:separator/>
      </w:r>
    </w:p>
  </w:endnote>
  <w:endnote w:type="continuationSeparator" w:id="0">
    <w:p w14:paraId="37B17628" w14:textId="77777777" w:rsidR="00495EAF" w:rsidRDefault="00495EAF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6E7E" w14:textId="77777777" w:rsidR="00495EAF" w:rsidRDefault="00495EAF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039255D2" w14:textId="77777777" w:rsidR="00495EAF" w:rsidRDefault="00495EAF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5289ACF1" w:rsidR="00506655" w:rsidRPr="003A3B92" w:rsidRDefault="000F1DB9" w:rsidP="00A42E2D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0C449D">
      <w:rPr>
        <w:rFonts w:cs="AL-Mohanad Bold" w:hint="cs"/>
        <w:color w:val="1C7688"/>
        <w:sz w:val="32"/>
        <w:szCs w:val="32"/>
        <w:rtl/>
      </w:rPr>
      <w:t>عشر ذي الحجة فضائل وأحكام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1466A"/>
    <w:rsid w:val="000264BB"/>
    <w:rsid w:val="00031C79"/>
    <w:rsid w:val="00042088"/>
    <w:rsid w:val="000625D6"/>
    <w:rsid w:val="000722AF"/>
    <w:rsid w:val="00092183"/>
    <w:rsid w:val="000C40CB"/>
    <w:rsid w:val="000C449D"/>
    <w:rsid w:val="000D7639"/>
    <w:rsid w:val="000F1DB9"/>
    <w:rsid w:val="001141B3"/>
    <w:rsid w:val="00120EA2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97C7B"/>
    <w:rsid w:val="002A24A5"/>
    <w:rsid w:val="002A3914"/>
    <w:rsid w:val="002A46A9"/>
    <w:rsid w:val="002B1EB1"/>
    <w:rsid w:val="002B36DF"/>
    <w:rsid w:val="002D1D01"/>
    <w:rsid w:val="002F57A8"/>
    <w:rsid w:val="002F7892"/>
    <w:rsid w:val="003263DC"/>
    <w:rsid w:val="00332112"/>
    <w:rsid w:val="00340314"/>
    <w:rsid w:val="00351A7C"/>
    <w:rsid w:val="00363EAE"/>
    <w:rsid w:val="00372C33"/>
    <w:rsid w:val="003A3B92"/>
    <w:rsid w:val="003A70DA"/>
    <w:rsid w:val="003C41F2"/>
    <w:rsid w:val="003F1594"/>
    <w:rsid w:val="0045460E"/>
    <w:rsid w:val="00495EAF"/>
    <w:rsid w:val="004C7BEF"/>
    <w:rsid w:val="0050374B"/>
    <w:rsid w:val="00506655"/>
    <w:rsid w:val="005176A9"/>
    <w:rsid w:val="00536F5A"/>
    <w:rsid w:val="00552DC5"/>
    <w:rsid w:val="00557FC0"/>
    <w:rsid w:val="0056015E"/>
    <w:rsid w:val="005666D1"/>
    <w:rsid w:val="005813B6"/>
    <w:rsid w:val="005939F4"/>
    <w:rsid w:val="005977A2"/>
    <w:rsid w:val="005B098B"/>
    <w:rsid w:val="005C203F"/>
    <w:rsid w:val="005C482C"/>
    <w:rsid w:val="005C6E07"/>
    <w:rsid w:val="005D1A2E"/>
    <w:rsid w:val="005D53CB"/>
    <w:rsid w:val="005F233F"/>
    <w:rsid w:val="006017E7"/>
    <w:rsid w:val="00606306"/>
    <w:rsid w:val="00633821"/>
    <w:rsid w:val="00665F4C"/>
    <w:rsid w:val="00670C6E"/>
    <w:rsid w:val="006742F6"/>
    <w:rsid w:val="006A368E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86B33"/>
    <w:rsid w:val="008B781B"/>
    <w:rsid w:val="008E12FD"/>
    <w:rsid w:val="008F3C55"/>
    <w:rsid w:val="00920043"/>
    <w:rsid w:val="00940FF5"/>
    <w:rsid w:val="00990918"/>
    <w:rsid w:val="009C153A"/>
    <w:rsid w:val="009C4C74"/>
    <w:rsid w:val="009E1DF6"/>
    <w:rsid w:val="00A14D43"/>
    <w:rsid w:val="00A15690"/>
    <w:rsid w:val="00A31374"/>
    <w:rsid w:val="00A42E2D"/>
    <w:rsid w:val="00A56230"/>
    <w:rsid w:val="00A612EF"/>
    <w:rsid w:val="00A629F0"/>
    <w:rsid w:val="00A743DA"/>
    <w:rsid w:val="00A77DB6"/>
    <w:rsid w:val="00A973BF"/>
    <w:rsid w:val="00AC3241"/>
    <w:rsid w:val="00AD2520"/>
    <w:rsid w:val="00AD5BE3"/>
    <w:rsid w:val="00AE2AC3"/>
    <w:rsid w:val="00AE6F11"/>
    <w:rsid w:val="00B40894"/>
    <w:rsid w:val="00B40C2B"/>
    <w:rsid w:val="00BA58A4"/>
    <w:rsid w:val="00C146EB"/>
    <w:rsid w:val="00C81C10"/>
    <w:rsid w:val="00CA73DE"/>
    <w:rsid w:val="00CB0D1D"/>
    <w:rsid w:val="00CB2709"/>
    <w:rsid w:val="00CC29D5"/>
    <w:rsid w:val="00CC4457"/>
    <w:rsid w:val="00CC71EB"/>
    <w:rsid w:val="00CD172C"/>
    <w:rsid w:val="00CE00DB"/>
    <w:rsid w:val="00CE4469"/>
    <w:rsid w:val="00D03510"/>
    <w:rsid w:val="00D16A58"/>
    <w:rsid w:val="00D26EAE"/>
    <w:rsid w:val="00D37DC3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81197"/>
    <w:rsid w:val="00EA4E4B"/>
    <w:rsid w:val="00EB0284"/>
    <w:rsid w:val="00EB4505"/>
    <w:rsid w:val="00EC5E52"/>
    <w:rsid w:val="00EF0172"/>
    <w:rsid w:val="00EF0726"/>
    <w:rsid w:val="00EF383B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أبصار الإسلام</cp:lastModifiedBy>
  <cp:revision>8</cp:revision>
  <cp:lastPrinted>2023-05-09T12:02:00Z</cp:lastPrinted>
  <dcterms:created xsi:type="dcterms:W3CDTF">2023-05-03T04:58:00Z</dcterms:created>
  <dcterms:modified xsi:type="dcterms:W3CDTF">2023-06-13T11:51:00Z</dcterms:modified>
</cp:coreProperties>
</file>