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EB7C1A7" w14:textId="77777777" w:rsidR="00734E14" w:rsidRDefault="00734E14" w:rsidP="00734E14">
      <w:pPr>
        <w:jc w:val="center"/>
        <w:rPr>
          <w:rFonts w:ascii="Simplified Arabic" w:hAnsi="Simplified Arabic" w:cs="Simplified Arabic"/>
          <w:b/>
          <w:bCs/>
          <w:color w:val="00B050"/>
          <w:sz w:val="32"/>
          <w:szCs w:val="32"/>
        </w:rPr>
      </w:pPr>
      <w:bookmarkStart w:id="0" w:name="_Hlk189730395"/>
      <w:r>
        <w:rPr>
          <w:rFonts w:ascii="Simplified Arabic" w:hAnsi="Simplified Arabic" w:cs="Simplified Arabic"/>
          <w:b/>
          <w:bCs/>
          <w:color w:val="00B050"/>
          <w:sz w:val="32"/>
          <w:szCs w:val="32"/>
          <w:rtl/>
        </w:rPr>
        <w:t>يا أيها الذين آمنوا أوفوا بالعقود</w:t>
      </w:r>
    </w:p>
    <w:p w14:paraId="2CD81422" w14:textId="77777777" w:rsidR="00734E14" w:rsidRDefault="00734E14" w:rsidP="00734E14">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788917FE" w14:textId="77777777" w:rsidR="00734E14" w:rsidRDefault="00734E14" w:rsidP="00734E14">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فَقَدْ أَمَرَ اللَّهُ تَعَالَى الْمُؤْمِنِينَ أَنْ يُتِمُّوا الْعُهُودَ الَّتِي بَيْنَهُ وَبَيْنَهُمْ، وَالْعُهُودَ الَّتِي بَيْنَهُمْ وَبَيْنَ الْخَلْقِ، وَالَّتِي لَا تُخَالِفُ شَرْعَهُ فَقَالَ سُبْحَانَهُ: {</w:t>
      </w:r>
      <w:r>
        <w:rPr>
          <w:rFonts w:cs="Simplified Arabic"/>
          <w:b/>
          <w:bCs/>
          <w:color w:val="00B050"/>
          <w:sz w:val="32"/>
          <w:szCs w:val="32"/>
          <w:rtl/>
        </w:rPr>
        <w:t>يَا أَيُّهَا الَّذِينَ آمَنُوا أَوْفُوا</w:t>
      </w:r>
      <w:r>
        <w:rPr>
          <w:rStyle w:val="ab"/>
          <w:rFonts w:eastAsiaTheme="majorEastAsia" w:cs="Simplified Arabic"/>
          <w:sz w:val="32"/>
          <w:szCs w:val="32"/>
          <w:rtl/>
        </w:rPr>
        <w:t>(</w:t>
      </w:r>
      <w:r>
        <w:rPr>
          <w:rStyle w:val="ab"/>
          <w:rFonts w:eastAsiaTheme="majorEastAsia" w:cs="Simplified Arabic"/>
          <w:sz w:val="32"/>
          <w:szCs w:val="32"/>
          <w:rtl/>
        </w:rPr>
        <w:footnoteReference w:id="1"/>
      </w:r>
      <w:r>
        <w:rPr>
          <w:rStyle w:val="ab"/>
          <w:rFonts w:eastAsiaTheme="majorEastAsia" w:cs="Simplified Arabic"/>
          <w:sz w:val="32"/>
          <w:szCs w:val="32"/>
          <w:rtl/>
        </w:rPr>
        <w:t>)</w:t>
      </w:r>
      <w:r>
        <w:rPr>
          <w:rFonts w:cs="Simplified Arabic"/>
          <w:b/>
          <w:bCs/>
          <w:color w:val="00B050"/>
          <w:sz w:val="32"/>
          <w:szCs w:val="32"/>
          <w:rtl/>
        </w:rPr>
        <w:t xml:space="preserve"> بِالْعُقُودِ</w:t>
      </w:r>
      <w:r>
        <w:rPr>
          <w:rStyle w:val="ab"/>
          <w:rFonts w:eastAsiaTheme="majorEastAsia" w:cs="Simplified Arabic"/>
          <w:sz w:val="32"/>
          <w:szCs w:val="32"/>
          <w:rtl/>
        </w:rPr>
        <w:t>(</w:t>
      </w:r>
      <w:r>
        <w:rPr>
          <w:rStyle w:val="ab"/>
          <w:rFonts w:eastAsiaTheme="majorEastAsia" w:cs="Simplified Arabic"/>
          <w:sz w:val="32"/>
          <w:szCs w:val="32"/>
          <w:rtl/>
        </w:rPr>
        <w:footnoteReference w:id="2"/>
      </w:r>
      <w:r>
        <w:rPr>
          <w:rStyle w:val="ab"/>
          <w:rFonts w:eastAsiaTheme="majorEastAsia" w:cs="Simplified Arabic"/>
          <w:sz w:val="32"/>
          <w:szCs w:val="32"/>
          <w:rtl/>
        </w:rPr>
        <w:t>)</w:t>
      </w:r>
      <w:r>
        <w:rPr>
          <w:rFonts w:ascii="Simplified Arabic" w:hAnsi="Simplified Arabic" w:cs="Simplified Arabic"/>
          <w:sz w:val="32"/>
          <w:szCs w:val="32"/>
          <w:rtl/>
        </w:rPr>
        <w:t xml:space="preserve">} [الْمَائِدَةِ: 1]؛ </w:t>
      </w:r>
      <w:r>
        <w:rPr>
          <w:rFonts w:ascii="Simplified Arabic" w:hAnsi="Simplified Arabic" w:cs="Simplified Arabic"/>
          <w:b/>
          <w:bCs/>
          <w:color w:val="0070C0"/>
          <w:sz w:val="32"/>
          <w:szCs w:val="32"/>
          <w:rtl/>
        </w:rPr>
        <w:t>فَهَذِهِ الْآيَةُ الْكَرِيمَةُ مِنْ أَجْمَعِ الْآيَاتِ الَّتِي تَدُلُّ عَلَى الْوَفَاءِ بِجَمِيعِ الْعُهُودِ</w:t>
      </w:r>
      <w:r>
        <w:rPr>
          <w:rFonts w:ascii="Simplified Arabic" w:hAnsi="Simplified Arabic" w:cs="Simplified Arabic"/>
          <w:sz w:val="32"/>
          <w:szCs w:val="32"/>
          <w:rtl/>
        </w:rPr>
        <w:t>، وَلَا سِيَّمَا الْعُهُودُ الَّتِي تَكُونُ بَيْنَ الْعَبْدِ وَبَيْنَ اللَّهِ تَعَالَى، وَتَشْتَمِلُ أَيْضًا عَلَى كُلِّ عَهْدٍ وَعَقْدٍ وَاتِّفَاقٍ يَكُونُ بَيْنَ النَّاسِ، بِشَرْطِ أَلَّا يَكُونَ هَذَا الْعَقْدُ مُحَرَّمًا، فَإِنْ كَانَ الْعَقْدُ مُحَرَّمًا فَإِنَّ النُّصُوصَ الشَّرْعِيَّةَ تَدُلُّ عَلَى عَدَمِ الْوَفَاءِ بِهِ، بَلْ عَلَى تَحْرِيمِ الْوَفَاءِ 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لِقَوْلِ النَّبِيِّ صَلَّى اللَّهُ عَلَيْهِ وَسَلَّمَ: «</w:t>
      </w:r>
      <w:r>
        <w:rPr>
          <w:rFonts w:ascii="Simplified Arabic" w:hAnsi="Simplified Arabic" w:cs="Simplified Arabic"/>
          <w:b/>
          <w:bCs/>
          <w:sz w:val="32"/>
          <w:szCs w:val="32"/>
          <w:rtl/>
        </w:rPr>
        <w:t>مَا كَانَ مِنْ شَرْطٍ لَيْسَ فِي كِتَابِ اللَّهِ فَهُوَ بَاطِلٌ، وَإِنْ كَانَ مِائَةَ شَرْطٍ</w:t>
      </w:r>
      <w:r>
        <w:rPr>
          <w:rFonts w:ascii="Simplified Arabic" w:hAnsi="Simplified Arabic" w:cs="Simplified Arabic"/>
          <w:sz w:val="32"/>
          <w:szCs w:val="32"/>
          <w:rtl/>
        </w:rPr>
        <w:t>» رَوَاهُ الْبُخَارِيُّ وَمُسْلِمٌ.</w:t>
      </w:r>
    </w:p>
    <w:p w14:paraId="3E6A5B97"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السَّعْدِيُّ رَحِمَهُ اللَّهُ: (هَذَا أَمْرٌ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تَعَالَى لِعِبَادِهِ الْمُؤْمِنِينَ بِمَا يَقْتَضِيهِ الْإِيمَانُ بِالْوَفَاءِ بِالْعُقُودِ، أَيْ: بِإِكْمَالِهَا، وَإِتْمَامِهَا، وَعَدَمِ نَقْضِهَا وَنَقْصِهَا، وَهَذَا شَامِلٌ لِلْعُقُودِ الَّتِي بَيْنَ الْعَبْدِ وَبَيْنَ رَبِّهِ؛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لْتِزَامِ عُبُودِيَّتِهِ، وَالْقِيَامِ بِهَا أَتَمَّ قِيَامٍ، وَعَدَمِ الِانْتِقَاصِ مِنْ حُقُوقِهَا شَيْئًا. وَالَّتِي بَيْنَهُ وَبَيْنَ الرَّسُولِ؛ بِطَاعَتِهِ وَاتِّبَاعِهِ. وَالَّتِي بَيْنَهُ وَبَيْنَ الْوَالِدَيْنِ وَالْأَقَارِبِ؛ بِبِرِّهِمْ وَصِلَتِهِمْ، وَعَدَمِ قَطِيعَتِهِمْ.</w:t>
      </w:r>
    </w:p>
    <w:p w14:paraId="1148947D"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وَالَّتِي بَيْنَهُ وَبَيْنَ أَصْحَابِهِ؛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لْقِيَامِ بِحُقُوقِ الصُّحْبَةِ فِي الْغِنَى وَالْفَقْرِ، وَالْيُسْرِ وَالْعُسْرِ. وَالَّتِي بَيْنَهُ وَبَيْنَ الْخَلْقِ مِنْ عُقُودِ الْمُعَامَلَاتِ؛ كَالْبَيْعِ وَالْإِجَارَةِ، وَنَحْوِهِمَا، وَعُقُودِ التَّبَرُّعَاتِ كَالْهِبَةِ وَنَحْوِهَا، بَلْ وَالْقِيَامِ بِحُقُوقِ الْمُسْلِمِينَ الَّتِي عَقَدَهَا اللَّهُ بَيْنَهُمْ فِي قَوْلِهِ: {</w:t>
      </w:r>
      <w:r>
        <w:rPr>
          <w:rFonts w:ascii="Simplified Arabic" w:hAnsi="Simplified Arabic" w:cs="Simplified Arabic"/>
          <w:b/>
          <w:bCs/>
          <w:color w:val="00B050"/>
          <w:sz w:val="32"/>
          <w:szCs w:val="32"/>
          <w:rtl/>
        </w:rPr>
        <w:t>إِنَّمَا الْمُؤْمِنُونَ إِخْوَةٌ</w:t>
      </w:r>
      <w:r>
        <w:rPr>
          <w:rFonts w:ascii="Simplified Arabic" w:hAnsi="Simplified Arabic" w:cs="Simplified Arabic"/>
          <w:sz w:val="32"/>
          <w:szCs w:val="32"/>
          <w:rtl/>
        </w:rPr>
        <w:t>} [الْحُجُرَاتِ: 10] بِالتَّنَاصُرِ عَلَى الْحَقِّ، وَالتَّعَاوُنِ عَلَيْهِ، وَالتَّآلُفِ بَيْنَ الْمُسْلِمِينَ وَعَدَمِ التَّقَاطُعِ، فَهَذَا الْأَمْرُ شَامِلٌ لِأُصُولِ الدِّينِ وَفُرُوعِهِ، فَكُلُّهَا دَاخِلَةٌ فِي الْعُقُودِ الَّتِي أَمَرَ اللَّهُ بِالْقِيَامِ بِهَا)</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7530B7"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عِبَادَ اللَّهِ: </w:t>
      </w:r>
      <w:r>
        <w:rPr>
          <w:rFonts w:ascii="Simplified Arabic" w:hAnsi="Simplified Arabic" w:cs="Simplified Arabic"/>
          <w:b/>
          <w:bCs/>
          <w:color w:val="C00000"/>
          <w:sz w:val="32"/>
          <w:szCs w:val="32"/>
          <w:rtl/>
        </w:rPr>
        <w:t>وَمِمَّا يَدْخُلُ فِي الْوَفَاءِ بِالْعُهُودِ</w:t>
      </w:r>
      <w:r>
        <w:rPr>
          <w:rFonts w:ascii="Simplified Arabic" w:hAnsi="Simplified Arabic" w:cs="Simplified Arabic"/>
          <w:sz w:val="32"/>
          <w:szCs w:val="32"/>
          <w:rtl/>
        </w:rPr>
        <w:t>:</w:t>
      </w:r>
    </w:p>
    <w:p w14:paraId="32DAA3E3"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الْعُهُودُ وَالتَّحَالُفَاتُ الَّتِي كَانَتْ فِي الْجَاهِلِيَّةِ</w:t>
      </w:r>
      <w:r>
        <w:rPr>
          <w:rFonts w:ascii="Simplified Arabic" w:hAnsi="Simplified Arabic" w:cs="Simplified Arabic"/>
          <w:sz w:val="32"/>
          <w:szCs w:val="32"/>
          <w:rtl/>
        </w:rPr>
        <w:t>: يَتَعَاقَدُونَهَا فِيمَا بَيْنَهُمْ عَلَى نُصْرَةِ الْمَظْلُومِ وَمُؤَازَرَتِهِ، وَأَخْذِ</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لْحَقَّ لَهُ مِمَّنْ ظَلَمُوهُ، وَبَغَوْا عَلَيْهِ، وَهِيَ الْمَعْنِيَّةُ بِقَوْلِهِ صَلَّى اللَّهُ عَلَيْهِ وَسَلَّمَ: «</w:t>
      </w:r>
      <w:r>
        <w:rPr>
          <w:rFonts w:ascii="Simplified Arabic" w:hAnsi="Simplified Arabic" w:cs="Simplified Arabic"/>
          <w:b/>
          <w:bCs/>
          <w:sz w:val="32"/>
          <w:szCs w:val="32"/>
          <w:rtl/>
        </w:rPr>
        <w:t>أَيُّمَا حِلْفٍ كَانَ فِي الْجَاهِلِيَّةِ لَمْ يَزِدْهُ الْإِسْلَامُ إِلَّا شِدَّةً</w:t>
      </w:r>
      <w:r>
        <w:rPr>
          <w:rFonts w:ascii="Simplified Arabic" w:hAnsi="Simplified Arabic" w:cs="Simplified Arabic"/>
          <w:sz w:val="32"/>
          <w:szCs w:val="32"/>
          <w:rtl/>
        </w:rPr>
        <w:t>» رَوَاهُ مُسْلِمٌ.</w:t>
      </w:r>
    </w:p>
    <w:p w14:paraId="08CE1947"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الْعُهُودُ الَّتِي أَخَذَهَا اللَّهُ تَعَالَى عَلَى عِبَادِهِ</w:t>
      </w:r>
      <w:r>
        <w:rPr>
          <w:rFonts w:ascii="Simplified Arabic" w:hAnsi="Simplified Arabic" w:cs="Simplified Arabic"/>
          <w:sz w:val="32"/>
          <w:szCs w:val="32"/>
          <w:rtl/>
        </w:rPr>
        <w:t>: بِالْإِيمَانِ بِهِ، وَطَاعَتِهِ فِيمَا أَحَلَّ لَهُمْ، وَحَرَّمَ عَلَيْهِمْ، وَهِيَ الْمَعْنِيَّةُ بِقَوْلِهِ تَعَالَى: {</w:t>
      </w:r>
      <w:r>
        <w:rPr>
          <w:rFonts w:cs="Simplified Arabic"/>
          <w:b/>
          <w:bCs/>
          <w:color w:val="00B050"/>
          <w:sz w:val="32"/>
          <w:szCs w:val="32"/>
          <w:rtl/>
        </w:rPr>
        <w:t>وَالَّذِينَ يَنْقُضُونَ عَهْدَ اللَّهِ مِنْ بَعْدِ مِيثَاقِهِ وَيَقْطَعُونَ مَا أَمَرَ اللَّهُ بِهِ أَنْ يُوصَلَ وَيُفْسِدُونَ فِي الْأَرْضِ أُوْلَئِكَ لَهُمُ اللَّعْنَةُ وَلَهُمْ سُوءُ الدَّارِ</w:t>
      </w:r>
      <w:r>
        <w:rPr>
          <w:rFonts w:ascii="Simplified Arabic" w:hAnsi="Simplified Arabic" w:cs="Simplified Arabic"/>
          <w:sz w:val="32"/>
          <w:szCs w:val="32"/>
          <w:rtl/>
        </w:rPr>
        <w:t xml:space="preserve">} [الرَّعْدِ: 25]، وَيَدْخُلُ فِيهَا أَوَامِرُ اللَّهِ؛ كَالْأَمْرِ بِالصَّلَاةِ، وَالزَّكَاةِ، وَالْحَجِّ، وَالصِّيَامِ، وَالنُّذُورِ وَنَحْوِهَا. </w:t>
      </w:r>
    </w:p>
    <w:p w14:paraId="65AC7C27"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الْعُقُودُ الَّتِي يَتَعَاقَدُهَا النَّاسُ فِيمَا بَيْنَهُمْ</w:t>
      </w:r>
      <w:r>
        <w:rPr>
          <w:rFonts w:ascii="Simplified Arabic" w:hAnsi="Simplified Arabic" w:cs="Simplified Arabic"/>
          <w:sz w:val="32"/>
          <w:szCs w:val="32"/>
          <w:rtl/>
        </w:rPr>
        <w:t xml:space="preserve">: وَيَعْقِدُهَا الْمَرْءُ عَلَى نَفْسِهِ؛ كَعُقْدَةِ الْيَمِينِ، وَالْعَهْدِ الَّذِي يَأْخُذُهُ الشَّخْصُ عَلَى نَفْسِهِ، وَالْبَيْعِ وَالشِّرَاءِ، وَالْحَلِفِ، وَالنِّكَاحِ، وَنَحْوِ ذَلِكَ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لطَّلَاقِ، وَالْمُزَارَعَةِ، وَالْمُصَالَحَةِ، وَالتَّمْلِيكِ، وَغَيْرِهَا. </w:t>
      </w:r>
    </w:p>
    <w:p w14:paraId="2523C953"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الْعُهُودُ الَّتِي أَخَذَهَا اللَّهُ تَعَالَى عَلَى أَهْلِ الْكِتَابِ</w:t>
      </w:r>
      <w:r>
        <w:rPr>
          <w:rFonts w:ascii="Simplified Arabic" w:hAnsi="Simplified Arabic" w:cs="Simplified Arabic"/>
          <w:sz w:val="32"/>
          <w:szCs w:val="32"/>
          <w:rtl/>
        </w:rPr>
        <w:t>: مِنَ الْإِيمَانِ بِرَسُولِ اللَّهِ صَلَّى اللَّهُ عَلَيْهِ وَسَلَّمَ – إِذَا بُعِثَ فِيهِمْ، وَهِيَ الْمَعْنِيَّةُ بِقَوْلِهِ تَعَالَى: {</w:t>
      </w:r>
      <w:r>
        <w:rPr>
          <w:rFonts w:cs="Simplified Arabic"/>
          <w:b/>
          <w:bCs/>
          <w:color w:val="00B050"/>
          <w:sz w:val="32"/>
          <w:szCs w:val="32"/>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Pr>
          <w:rFonts w:ascii="Simplified Arabic" w:hAnsi="Simplified Arabic" w:cs="Simplified Arabic"/>
          <w:sz w:val="32"/>
          <w:szCs w:val="32"/>
          <w:rtl/>
        </w:rPr>
        <w:t>} [آلِ عِمْرَانَ: 81]؛ فَالْعَهْدُ الْمَأْخُوذُ عَلَى 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أَخَذَتْهُ الْأَنْبِيَاءُ عَلَى أُمَمِهِمْ.</w:t>
      </w:r>
    </w:p>
    <w:p w14:paraId="68EF30DE"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الْوَفَاءُ بِالْعُهُودِ وَالْمَوَاثِيقِ لِلْمُسْتَأْمَنِينَ</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b/>
          <w:bCs/>
          <w:color w:val="0070C0"/>
          <w:sz w:val="32"/>
          <w:szCs w:val="32"/>
          <w:rtl/>
        </w:rPr>
        <w:t>، وَأَهْلِ الذِّمَّةِ</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قَتَلَ مُعَاهَدًا</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لَمْ يَرَحْ</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رَائِحَةَ الْجَنَّةِ، وَإِنَّ رِيحَهَا تُوجَدُ </w:t>
      </w:r>
      <w:r>
        <w:rPr>
          <w:rFonts w:ascii="Simplified Arabic" w:hAnsi="Simplified Arabic" w:cs="Simplified Arabic"/>
          <w:b/>
          <w:bCs/>
          <w:sz w:val="32"/>
          <w:szCs w:val="32"/>
          <w:rtl/>
        </w:rPr>
        <w:lastRenderedPageBreak/>
        <w:t>مِنْ مَسِيرَةِ أَرْبَعِينَ عَامًا</w:t>
      </w:r>
      <w:r>
        <w:rPr>
          <w:rFonts w:ascii="Simplified Arabic" w:hAnsi="Simplified Arabic" w:cs="Simplified Arabic"/>
          <w:sz w:val="32"/>
          <w:szCs w:val="32"/>
          <w:rtl/>
        </w:rPr>
        <w:t>» رَوَاهُ الْبُخَارِيُّ.</w:t>
      </w:r>
      <w:r>
        <w:rPr>
          <w:rFonts w:ascii="Simplified Arabic" w:hAnsi="Simplified Arabic" w:cs="Simplified Arabic"/>
          <w:b/>
          <w:bCs/>
          <w:color w:val="C00000"/>
          <w:sz w:val="32"/>
          <w:szCs w:val="32"/>
          <w:rtl/>
        </w:rPr>
        <w:t xml:space="preserve"> </w:t>
      </w:r>
      <w:r>
        <w:rPr>
          <w:rFonts w:ascii="Simplified Arabic" w:hAnsi="Simplified Arabic" w:cs="Simplified Arabic"/>
          <w:sz w:val="32"/>
          <w:szCs w:val="32"/>
          <w:rtl/>
        </w:rPr>
        <w:t>فَشَرِيعَةُ الْإِسْلَامِ تَأْمُرُ بِالْوَفَاءِ بِالْعُهُودِ وَالْمَوَاثِيقِ، وَلَيْسَ مِنْ دِينِ الْإِسْلَامِ، وَلَا مِنْ خِصَالِ أَهْلِهِ إِيذَاءُ الْمُسْتَأْمَنِينَ وَالْمُعَاهَدِينَ بِأَيِّ صُورَةٍ كَانَتْ. قَالَ ابْنُ تَيْمِيَّةَ رَحِمَهُ اللَّهُ: (جَاءَ الْكِتَابُ وَالسُّنَّةُ بِالْأَمْرِ بِالْوَفَاءِ بِالْعُهُودِ ‌وَالشُّرُوطِ ‌وَالْمَوَاثِيقِ وَالْعُقُودِ، وَبِأَدَاءِ الْأَمَانَةِ وَرِعَايَةِ ذَلِكَ، وَالنَّهْيِ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لْغَدْرِ، وَنَقْضِ الْعُهُودِ، وَالْخِيَانَةِ، وَالتَّشْدِيدِ عَلَى مَنْ يَفْعَلُ ذَلِكَ)</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B32ABEF" w14:textId="77777777" w:rsidR="00734E14" w:rsidRDefault="00734E14" w:rsidP="00734E14">
      <w:pPr>
        <w:ind w:firstLine="720"/>
        <w:jc w:val="both"/>
        <w:rPr>
          <w:rFonts w:ascii="Simplified Arabic" w:hAnsi="Simplified Arabic" w:cs="Simplified Arabic"/>
          <w:sz w:val="32"/>
          <w:szCs w:val="32"/>
          <w:rtl/>
        </w:rPr>
      </w:pPr>
      <w:bookmarkStart w:id="1" w:name="_Hlk201407446"/>
      <w:r>
        <w:rPr>
          <w:rFonts w:ascii="Simplified Arabic" w:hAnsi="Simplified Arabic" w:cs="Simplified Arabic"/>
          <w:b/>
          <w:bCs/>
          <w:color w:val="C00000"/>
          <w:sz w:val="32"/>
          <w:szCs w:val="32"/>
          <w:rtl/>
        </w:rPr>
        <w:t>وَمِنَ الْآيَاتِ الْوَارِدَةِ فِي الْحَثِّ عَلَى الْوَفَاءِ بِالْعُهُودِ وَالْمَوَاثِيقِ، وَالتَّحْذِيرِ مِنْ نَقْضِهَا</w:t>
      </w:r>
      <w:r>
        <w:rPr>
          <w:rFonts w:ascii="Simplified Arabic" w:hAnsi="Simplified Arabic" w:cs="Simplified Arabic"/>
          <w:sz w:val="32"/>
          <w:szCs w:val="32"/>
          <w:rtl/>
        </w:rPr>
        <w:t xml:space="preserve">: </w:t>
      </w:r>
      <w:bookmarkEnd w:id="1"/>
      <w:r>
        <w:rPr>
          <w:rFonts w:ascii="Simplified Arabic" w:hAnsi="Simplified Arabic" w:cs="Simplified Arabic"/>
          <w:sz w:val="32"/>
          <w:szCs w:val="32"/>
          <w:rtl/>
        </w:rPr>
        <w:t>قَوْلُهُ تَعَالَى: {</w:t>
      </w:r>
      <w:r>
        <w:rPr>
          <w:rFonts w:cs="Simplified Arabic"/>
          <w:b/>
          <w:bCs/>
          <w:color w:val="00B050"/>
          <w:sz w:val="32"/>
          <w:szCs w:val="32"/>
          <w:rtl/>
        </w:rPr>
        <w:t>وَأَوْفُوا بِعَهْدِ اللَّهِ إِذَا عَاهَدْتُمْ وَلَا تَنْقُضُوا الْأَيْمَانَ بَعْدَ تَوْكِيدِهَا</w:t>
      </w:r>
      <w:r>
        <w:rPr>
          <w:rFonts w:ascii="Simplified Arabic" w:hAnsi="Simplified Arabic" w:cs="Simplified Arabic"/>
          <w:sz w:val="32"/>
          <w:szCs w:val="32"/>
          <w:rtl/>
        </w:rPr>
        <w:t>} [النَّحْلِ: 91]؛ وَقَوْلُهُ سُبْحَانَهُ: {</w:t>
      </w:r>
      <w:r>
        <w:rPr>
          <w:rFonts w:cs="Simplified Arabic"/>
          <w:b/>
          <w:bCs/>
          <w:color w:val="00B050"/>
          <w:sz w:val="32"/>
          <w:szCs w:val="32"/>
          <w:rtl/>
        </w:rPr>
        <w:t>وَإِذْ أَخَذَ اللَّهُ مِيثَاقَ الَّذِينَ أُوتُوا الْكِتَابَ لَتُبَيِّنُنَّهُ لِلنَّاسِ وَلَا تَكْتُمُونَهُ</w:t>
      </w:r>
      <w:r>
        <w:rPr>
          <w:rFonts w:ascii="Simplified Arabic" w:hAnsi="Simplified Arabic" w:cs="Simplified Arabic"/>
          <w:sz w:val="32"/>
          <w:szCs w:val="32"/>
          <w:rtl/>
        </w:rPr>
        <w:t>} [آلِ عِمْرَانَ: 187]؛ وَقَوْلُهُ: {</w:t>
      </w:r>
      <w:r>
        <w:rPr>
          <w:rFonts w:cs="Simplified Arabic"/>
          <w:b/>
          <w:bCs/>
          <w:color w:val="00B050"/>
          <w:sz w:val="32"/>
          <w:szCs w:val="32"/>
          <w:rtl/>
        </w:rPr>
        <w:t>الَّذِينَ يُوفُونَ بِعَهْدِ اللَّهِ وَلَا يَنْقُضُونَ الْمِيثَاقَ</w:t>
      </w:r>
      <w:r>
        <w:rPr>
          <w:rFonts w:ascii="Simplified Arabic" w:hAnsi="Simplified Arabic" w:cs="Simplified Arabic"/>
          <w:sz w:val="32"/>
          <w:szCs w:val="32"/>
          <w:rtl/>
        </w:rPr>
        <w:t>} [الرَّعْدِ: 20].</w:t>
      </w:r>
    </w:p>
    <w:p w14:paraId="21FAD042"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الْأَحَادِيثِ الْوَارِدَةِ فِي الْحَثِّ عَلَى الْوَفَاءِ بِالْعُهُودِ وَالْمَوَاثِيقِ، وَالتَّحْذِيرِ مِنْ نَقْضِهَا</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لِكُلِّ غَادِرٍ لِوَاءٌ يُنْصَبُ لِغَدْرَتِهِ</w:t>
      </w:r>
      <w:r>
        <w:rPr>
          <w:rFonts w:ascii="Simplified Arabic" w:hAnsi="Simplified Arabic" w:cs="Simplified Arabic"/>
          <w:sz w:val="32"/>
          <w:szCs w:val="32"/>
          <w:rtl/>
        </w:rPr>
        <w:t>» رَوَاهُ الْبُخَارِيُّ. وَفِي رِوَايَةٍ: «</w:t>
      </w:r>
      <w:r>
        <w:rPr>
          <w:rFonts w:ascii="Simplified Arabic" w:hAnsi="Simplified Arabic" w:cs="Simplified Arabic"/>
          <w:b/>
          <w:bCs/>
          <w:sz w:val="32"/>
          <w:szCs w:val="32"/>
          <w:rtl/>
        </w:rPr>
        <w:t>لِكُلِّ غَادِرٍ لِوَاءٌ يَوْمَ الْقِيَامَةِ يُعْرَفُ بِهِ، يُقَالُ: هَذِهِ غَدْرَةُ فُلَانٍ</w:t>
      </w:r>
      <w:r>
        <w:rPr>
          <w:rFonts w:ascii="Simplified Arabic" w:hAnsi="Simplified Arabic" w:cs="Simplified Arabic"/>
          <w:sz w:val="32"/>
          <w:szCs w:val="32"/>
          <w:rtl/>
        </w:rPr>
        <w:t>» رَوَاهُ مُسْلِمٌ. وَفِي لَفْظٍ: «</w:t>
      </w:r>
      <w:r>
        <w:rPr>
          <w:rFonts w:ascii="Simplified Arabic" w:hAnsi="Simplified Arabic" w:cs="Simplified Arabic"/>
          <w:b/>
          <w:bCs/>
          <w:sz w:val="32"/>
          <w:szCs w:val="32"/>
          <w:rtl/>
        </w:rPr>
        <w:t>لِكُلِّ غَادِرٍ لِوَاءٌ عِنْدَ اسْتِهِ يَوْمَ الْقِيَامَةِ</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إِذَا جَمَعَ اللَّهُ الْأَوَّلِينَ وَالْآخِرِينَ يَوْمَ الْقِيَامَةِ؛ يُرْفَعُ لِكُلِّ غَادِرٍ لِوَاءٌ، فَقِيلَ: هَذِهِ غَدْرَةُ فُلَانِ بْنِ فُلَانٍ</w:t>
      </w:r>
      <w:r>
        <w:rPr>
          <w:rFonts w:ascii="Simplified Arabic" w:hAnsi="Simplified Arabic" w:cs="Simplified Arabic"/>
          <w:sz w:val="32"/>
          <w:szCs w:val="32"/>
          <w:rtl/>
        </w:rPr>
        <w:t xml:space="preserve">» رَوَاهُ مُسْلِمٌ. </w:t>
      </w:r>
    </w:p>
    <w:p w14:paraId="2E14450D" w14:textId="77777777" w:rsidR="00734E14" w:rsidRDefault="00734E14" w:rsidP="00734E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عُقُوبَاتِ نَقْضِ الْعُهُودِ وَالْمَوَاثِيقِ، وَالْإِخْلَالِ بِهَا</w:t>
      </w:r>
      <w:r>
        <w:rPr>
          <w:rFonts w:ascii="Simplified Arabic" w:hAnsi="Simplified Arabic" w:cs="Simplified Arabic"/>
          <w:sz w:val="32"/>
          <w:szCs w:val="32"/>
          <w:rtl/>
        </w:rPr>
        <w:t>: قَوْلُهُ تَعَالَى: {</w:t>
      </w:r>
      <w:r>
        <w:rPr>
          <w:rFonts w:cs="Simplified Arabic"/>
          <w:b/>
          <w:bCs/>
          <w:color w:val="00B050"/>
          <w:sz w:val="32"/>
          <w:szCs w:val="32"/>
          <w:rtl/>
        </w:rPr>
        <w:t>فَبِمَا نَقْضِهِمْ مِيثَاقَهُمْ لَعَنَّاهُمْ وَجَعَلْنَا قُلُوبَهُمْ قَاسِيَةً يُحَرِّفُونَ الْكَلِمَ عَنْ مَوَاضِعِهِ وَنَسُوا حَظًّا مِمَّا ذُكِّرُوا بِهِ وَلَا تَزَالُ تَطَّلِعُ عَلَى خَائِنَةٍ مِنْهُمْ إِلَّا قَلِيلًا مِنْهُمْ</w:t>
      </w:r>
      <w:r>
        <w:rPr>
          <w:rFonts w:ascii="Simplified Arabic" w:hAnsi="Simplified Arabic" w:cs="Simplified Arabic"/>
          <w:sz w:val="32"/>
          <w:szCs w:val="32"/>
          <w:rtl/>
        </w:rPr>
        <w:t>} [الْمَائِدَةِ: 13]؛ وَقَوْلُهُ سُبْحَانَهُ: {</w:t>
      </w:r>
      <w:r>
        <w:rPr>
          <w:rFonts w:cs="Simplified Arabic"/>
          <w:b/>
          <w:bCs/>
          <w:color w:val="00B050"/>
          <w:sz w:val="32"/>
          <w:szCs w:val="32"/>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Pr>
          <w:rFonts w:ascii="Simplified Arabic" w:hAnsi="Simplified Arabic" w:cs="Simplified Arabic"/>
          <w:sz w:val="32"/>
          <w:szCs w:val="32"/>
          <w:rtl/>
        </w:rPr>
        <w:t>} [الْمَائِدَةِ: 14]؛ وَقَالَ سُبْحَانَهُ: {</w:t>
      </w:r>
      <w:r>
        <w:rPr>
          <w:rFonts w:cs="Simplified Arabic"/>
          <w:b/>
          <w:bCs/>
          <w:color w:val="00B050"/>
          <w:sz w:val="32"/>
          <w:szCs w:val="32"/>
          <w:rtl/>
        </w:rPr>
        <w:t>لَقَدْ أَخَذْنَا مِيثَاقَ بَنِي إِسْرَائِيلَ وَأَرْسَلْنَا إِلَيْهِمْ رُسُلًا كُلَّمَا جَاءَهُمْ رَسُولٌ بِمَا لَا تَهْوَى أَنْفُسُهُمْ فَرِيقًا كَذَّبُوا وَفَرِيقًا يَقْتُلُونَ * وَحَسِبُوا أَلَّا تَكُونَ فِتْنَةٌ فَعَمُوا وَصَمُّوا ثُمَّ تَابَ اللَّهُ عَلَيْهِمْ ثُمَّ عَمُوا وَصَمُّوا كَثِيرٌ مِنْهُمْ وَاللَّهُ بَصِيرٌ بِمَا يَعْمَلُونَ</w:t>
      </w:r>
      <w:r>
        <w:rPr>
          <w:rFonts w:ascii="Simplified Arabic" w:hAnsi="Simplified Arabic" w:cs="Simplified Arabic"/>
          <w:sz w:val="32"/>
          <w:szCs w:val="32"/>
          <w:rtl/>
        </w:rPr>
        <w:t>} [الْمَائِدَةِ: 70-71].</w:t>
      </w:r>
    </w:p>
    <w:p w14:paraId="5AA9CBBA" w14:textId="77777777" w:rsidR="00734E14" w:rsidRDefault="00734E14" w:rsidP="00734E14">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3EF98DC4" w14:textId="77777777" w:rsidR="00734E14" w:rsidRDefault="00734E14" w:rsidP="00734E14">
      <w:pPr>
        <w:ind w:firstLine="720"/>
        <w:jc w:val="both"/>
        <w:rPr>
          <w:rFonts w:ascii="Simplified Arabic" w:hAnsi="Simplified Arabic" w:cs="Simplified Arabic"/>
          <w:b/>
          <w:bCs/>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أَهَمِّ الْآدَابِ وَالْأَحْكَامِ، وَالْفَوَائِدِ فِي قَوْلِهِ تَعَالَى</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r>
        <w:rPr>
          <w:rFonts w:cs="Simplified Arabic"/>
          <w:b/>
          <w:bCs/>
          <w:color w:val="00B050"/>
          <w:sz w:val="32"/>
          <w:szCs w:val="32"/>
          <w:rtl/>
        </w:rPr>
        <w:t>يَا أَيُّهَا الَّذِينَ آمَنُوا أَوْفُوا بِالْعُقُودِ</w:t>
      </w:r>
      <w:r>
        <w:rPr>
          <w:rFonts w:ascii="Simplified Arabic" w:hAnsi="Simplified Arabic" w:cs="Simplified Arabic"/>
          <w:sz w:val="32"/>
          <w:szCs w:val="32"/>
          <w:rtl/>
        </w:rPr>
        <w:t>}</w:t>
      </w:r>
      <w:r>
        <w:rPr>
          <w:rFonts w:ascii="Simplified Arabic" w:hAnsi="Simplified Arabic" w:cs="Simplified Arabic"/>
          <w:b/>
          <w:bCs/>
          <w:sz w:val="32"/>
          <w:szCs w:val="32"/>
          <w:rtl/>
        </w:rPr>
        <w:t>:</w:t>
      </w:r>
    </w:p>
    <w:p w14:paraId="06C060F6"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فِي تَصْدِيرِ الْآيَةِ بِقَوْلِهِ: {</w:t>
      </w:r>
      <w:r>
        <w:rPr>
          <w:rFonts w:cs="Simplified Arabic"/>
          <w:b/>
          <w:bCs/>
          <w:color w:val="00B050"/>
          <w:sz w:val="32"/>
          <w:szCs w:val="32"/>
          <w:rtl/>
        </w:rPr>
        <w:t>يَا أَيُّهَا الَّذِينَ آمَنُوا</w:t>
      </w:r>
      <w:r>
        <w:rPr>
          <w:rFonts w:ascii="Simplified Arabic" w:hAnsi="Simplified Arabic" w:cs="Simplified Arabic"/>
          <w:sz w:val="32"/>
          <w:szCs w:val="32"/>
          <w:rtl/>
        </w:rPr>
        <w:t>} دَلَالَةٌ عَلَى فَضِيلَةِ الْإِيمَانِ، وَأَهَمِّيَّةِ مَا يُذْكَرُ بَعْدَ هَذَا النِّدَاءِ، وَأَنَّهُ مِنْ مُقْتَضَيَاتِ الْإِيمَانِ؛ تَصْدِيقًا بِهِ- إِنْ كَانَ خَبَرًا، وَعَمَلًا بِهِ- إِنْ كَانَ طَلَبًا</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D547F28"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الْإِيمَانُ بِاللَّهِ تَعَالَى يَحْمِلُ النَّاسَ عَلَى الْوَفَاءِ بِالْعُهُودِ وَالْمَوَاثِيقِ فِيمَا بَيْنَهُمْ.</w:t>
      </w:r>
    </w:p>
    <w:p w14:paraId="4D9EE770"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عَدَمُ الْوَفَاءِ بِالْعُهُودِ وَالشُّرُوطِ وَالْعُقُودِ نَقْصٌ فِي الْإِيمَانِ؛ لِأَنَّ صِفَةَ الْإِيمَانِ مُلْزِمَةٌ لِلنَّاسِ بِهَذَا الْوَفَاءِ، مُسْتَحِثَّةٌ لَهُمْ عَلَيْهِ</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4219F95"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4- </w:t>
      </w:r>
      <w:r>
        <w:rPr>
          <w:rFonts w:ascii="Simplified Arabic" w:hAnsi="Simplified Arabic" w:cs="Simplified Arabic"/>
          <w:sz w:val="32"/>
          <w:szCs w:val="32"/>
          <w:rtl/>
        </w:rPr>
        <w:t>وُجُوبُ الْوَفَاءِ بِالْعُهُودِ الَّتِي بَيْنَ اللَّهِ تَعَالَى وَبَيْنَ الْعِبَادِ.</w:t>
      </w:r>
    </w:p>
    <w:p w14:paraId="78F4068B"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وُجُوبُ الْوَفَاءِ بِالْعُهُودِ وَالشُّرُوطِ وَالْمَوَاثِيقِ وَالْعُقُودِ بَيْنَ النَّاسِ، وَالْمُحَافَظَةِ عَلَيْهَا؛ بِشَرْطِ أَنْ تَكُونَ مَشْرُوعَةً.</w:t>
      </w:r>
    </w:p>
    <w:p w14:paraId="44AC0685"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6- </w:t>
      </w:r>
      <w:r>
        <w:rPr>
          <w:rFonts w:ascii="Simplified Arabic" w:hAnsi="Simplified Arabic" w:cs="Simplified Arabic"/>
          <w:sz w:val="32"/>
          <w:szCs w:val="32"/>
          <w:rtl/>
        </w:rPr>
        <w:t>الْأَصْلُ فِي الْأَمْرِ فِي قَوْلِهِ تَعَالَى: {</w:t>
      </w:r>
      <w:r>
        <w:rPr>
          <w:rFonts w:cs="Simplified Arabic"/>
          <w:b/>
          <w:bCs/>
          <w:color w:val="00B050"/>
          <w:sz w:val="32"/>
          <w:szCs w:val="32"/>
          <w:rtl/>
        </w:rPr>
        <w:t>أَوْفُوا بِالْعُقُودِ</w:t>
      </w:r>
      <w:r>
        <w:rPr>
          <w:rFonts w:ascii="Simplified Arabic" w:hAnsi="Simplified Arabic" w:cs="Simplified Arabic"/>
          <w:sz w:val="32"/>
          <w:szCs w:val="32"/>
          <w:rtl/>
        </w:rPr>
        <w:t>} لِلْوُجُوبِ، وَلَا سِيَّمَا إِذَا كَانَ مُتَعَلِّقًا بِحَقِّ الْآخَرِينَ؛ لِأَنَّهُ إِبْرَامُ شَيْءٍ بَيْنَكَ وَبَيْنَ الْآخَرِ</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682F842"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وُجُوبُ الْوَفَاءِ بِالشُّرُوطِ الْمُشْتَرَطَةِ فِي الْعَقْدِ، فَإِذَا عَقَدَ رَجُلَانِ بَيْنَهُمَا عَقْدَ بَيْعٍ أَوْ غَيْرِهِ، وَاشْتَرَطَا شُرُوطًا، فَالْأَصْلُ وُجُوبُ الْوَفَاءِ بِالشُّرُوطِ؛ لِأَنَّ قَوْلَهُ: {</w:t>
      </w:r>
      <w:r>
        <w:rPr>
          <w:rFonts w:cs="Simplified Arabic"/>
          <w:b/>
          <w:bCs/>
          <w:color w:val="00B050"/>
          <w:sz w:val="32"/>
          <w:szCs w:val="32"/>
          <w:rtl/>
        </w:rPr>
        <w:t>أَوْفُوا بِالْعُقُودِ</w:t>
      </w:r>
      <w:r>
        <w:rPr>
          <w:rFonts w:ascii="Simplified Arabic" w:hAnsi="Simplified Arabic" w:cs="Simplified Arabic"/>
          <w:sz w:val="32"/>
          <w:szCs w:val="32"/>
          <w:rtl/>
        </w:rPr>
        <w:t>} يَشْمَلُ الْوَفَاءَ بِالْعَقْدِ نَفْسِهِ، وَبِأَوْصَافِهِ الَّتِي هِيَ شُرُوطُهُ</w:t>
      </w:r>
      <w:r>
        <w:rPr>
          <w:rStyle w:val="ab"/>
          <w:rFonts w:ascii="Simplified Arabic" w:eastAsiaTheme="majorEastAsia" w:hAnsi="Simplified Arabic" w:cs="Simplified Arabic"/>
          <w:sz w:val="32"/>
          <w:szCs w:val="32"/>
          <w:rtl/>
        </w:rPr>
        <w:t>(</w:t>
      </w:r>
      <w:r>
        <w:rPr>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97AAA95"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وُجُوبُ الْوَفَاءِ بِشُرُوطِ عَقْدِ النِّكَاحِ بَيْنَ النَّاسِ؛ لِقَوْلِهِ صَلَّى اللَّهُ عَلَيْهِ وَسَلَّمَ: «</w:t>
      </w:r>
      <w:r>
        <w:rPr>
          <w:rFonts w:ascii="Simplified Arabic" w:hAnsi="Simplified Arabic" w:cs="Simplified Arabic"/>
          <w:b/>
          <w:bCs/>
          <w:sz w:val="32"/>
          <w:szCs w:val="32"/>
          <w:rtl/>
        </w:rPr>
        <w:t>أَحَقُّ الشُّرُوطِ أَنْ تُوفُوا بِهِ مَا اسْتَحْلَلْتُمْ بِهِ الْفُرُوجَ</w:t>
      </w:r>
      <w:r>
        <w:rPr>
          <w:rFonts w:ascii="Simplified Arabic" w:hAnsi="Simplified Arabic" w:cs="Simplified Arabic"/>
          <w:sz w:val="32"/>
          <w:szCs w:val="32"/>
          <w:rtl/>
        </w:rPr>
        <w:t>» رَوَاهُ الْبُخَارِيُّ.</w:t>
      </w:r>
    </w:p>
    <w:p w14:paraId="31EEEF38"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w:t>
      </w:r>
      <w:r>
        <w:rPr>
          <w:rFonts w:ascii="Simplified Arabic" w:hAnsi="Simplified Arabic" w:cs="Simplified Arabic"/>
          <w:sz w:val="32"/>
          <w:szCs w:val="32"/>
          <w:rtl/>
        </w:rPr>
        <w:t xml:space="preserve"> يُسْتَفَادُ مِنْ قَوْلِهِ: {</w:t>
      </w:r>
      <w:r>
        <w:rPr>
          <w:rFonts w:cs="Simplified Arabic"/>
          <w:b/>
          <w:bCs/>
          <w:color w:val="00B050"/>
          <w:sz w:val="32"/>
          <w:szCs w:val="32"/>
          <w:rtl/>
        </w:rPr>
        <w:t>أَوْفُوا بِالْعُقُودِ</w:t>
      </w:r>
      <w:r>
        <w:rPr>
          <w:rFonts w:ascii="Simplified Arabic" w:hAnsi="Simplified Arabic" w:cs="Simplified Arabic"/>
          <w:sz w:val="32"/>
          <w:szCs w:val="32"/>
          <w:rtl/>
        </w:rPr>
        <w:t xml:space="preserve">} أَنَّ الْعُقُودَ تَنْعَقِدُ بِمَا دَلَّ عَلَيْهَا مِنْ قَوْلٍ، أَوْ فِعْلٍ، بِلَفْظٍ، أَوْ إِشَارَةٍ، أَوْ كِتَابَةٍ، </w:t>
      </w:r>
      <w:r>
        <w:rPr>
          <w:rFonts w:ascii="Simplified Arabic" w:hAnsi="Simplified Arabic" w:cs="Simplified Arabic"/>
          <w:b/>
          <w:bCs/>
          <w:color w:val="0070C0"/>
          <w:sz w:val="32"/>
          <w:szCs w:val="32"/>
          <w:rtl/>
        </w:rPr>
        <w:t>وَجْهُ ذَلِكَ</w:t>
      </w:r>
      <w:r>
        <w:rPr>
          <w:rFonts w:ascii="Simplified Arabic" w:hAnsi="Simplified Arabic" w:cs="Simplified Arabic"/>
          <w:sz w:val="32"/>
          <w:szCs w:val="32"/>
          <w:rtl/>
        </w:rPr>
        <w:t>: أَنَّ اللَّهَ جَلَّ وَعَلَا أَطْلَقَ الْعَقْدَ، فَكُلُّ مَا كَانَ عَقْدًا بَيْنَ النَّاسِ فَهُوَ عَقْدٌ</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65C100F"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 xml:space="preserve">10- </w:t>
      </w:r>
      <w:r>
        <w:rPr>
          <w:rFonts w:ascii="Simplified Arabic" w:hAnsi="Simplified Arabic" w:cs="Simplified Arabic"/>
          <w:sz w:val="32"/>
          <w:szCs w:val="32"/>
          <w:rtl/>
        </w:rPr>
        <w:t>الْجَهْلُ بِأَحْكَامِ الشَّرِيعَةِ مِنْ أَهَمِّ الْأَسْبَابِ الَّتِي تُؤَدِّي إِلَى نَقْضِ الْعُهُودِ، وَاسْتِحْلَالِ الدِّمَاءِ الْمَعْصُومَةِ، وَإِبْطَالِ عَهْدِ الْحُكَّامِ بَعْدَ تَكْفِيرِهِمْ، وَمِنْ ثَمَّ اسْتِحْلَالِ دِمَاءِ الْمُعَاهَدِينَ وَالْمُسْتَأْمَنِينَ.</w:t>
      </w:r>
    </w:p>
    <w:p w14:paraId="04E0EBB1"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w:t>
      </w:r>
      <w:r>
        <w:rPr>
          <w:rFonts w:ascii="Simplified Arabic" w:hAnsi="Simplified Arabic" w:cs="Simplified Arabic"/>
          <w:sz w:val="32"/>
          <w:szCs w:val="32"/>
          <w:rtl/>
        </w:rPr>
        <w:t>- النَّهْيُ عَنِ الْغَدْرِ، وَنَقْضِ الْعُهُودِ، وَالْخِيَانَةِ، وَالتَّشْدِيدُ عَلَى مَنْ يَفْعَلُ ذَلِكَ.</w:t>
      </w:r>
    </w:p>
    <w:p w14:paraId="43BE896B" w14:textId="77777777" w:rsidR="00734E14" w:rsidRDefault="00734E14" w:rsidP="00734E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w:t>
      </w:r>
      <w:r>
        <w:rPr>
          <w:rFonts w:ascii="Simplified Arabic" w:hAnsi="Simplified Arabic" w:cs="Simplified Arabic"/>
          <w:sz w:val="32"/>
          <w:szCs w:val="32"/>
          <w:rtl/>
        </w:rPr>
        <w:t xml:space="preserve"> الْعُقُوبَةُ فِي الدُّنْيَا وَالْآخِرَةِ لِمَنْ نَقَضَ الْعُهُودَ وَالْمَوَاثِيقَ، وَأَخَلَّ بِهَا.</w:t>
      </w:r>
    </w:p>
    <w:bookmarkEnd w:id="0"/>
    <w:p w14:paraId="64031AF6" w14:textId="301ACAFE" w:rsidR="00C3792A" w:rsidRPr="003C1A5E" w:rsidRDefault="00C3792A" w:rsidP="003C1A5E">
      <w:pPr>
        <w:rPr>
          <w:rtl/>
        </w:rPr>
      </w:pPr>
    </w:p>
    <w:sectPr w:rsidR="00C3792A" w:rsidRPr="003C1A5E"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5ED8" w14:textId="77777777" w:rsidR="001471A1" w:rsidRDefault="001471A1" w:rsidP="00BF3AF7">
      <w:r>
        <w:separator/>
      </w:r>
    </w:p>
  </w:endnote>
  <w:endnote w:type="continuationSeparator" w:id="0">
    <w:p w14:paraId="1E037549" w14:textId="77777777" w:rsidR="001471A1" w:rsidRDefault="001471A1" w:rsidP="00BF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B35D" w14:textId="77777777" w:rsidR="001471A1" w:rsidRDefault="001471A1" w:rsidP="00BF3AF7">
      <w:r>
        <w:separator/>
      </w:r>
    </w:p>
  </w:footnote>
  <w:footnote w:type="continuationSeparator" w:id="0">
    <w:p w14:paraId="091B2AF3" w14:textId="77777777" w:rsidR="001471A1" w:rsidRDefault="001471A1" w:rsidP="00BF3AF7">
      <w:r>
        <w:continuationSeparator/>
      </w:r>
    </w:p>
  </w:footnote>
  <w:footnote w:id="1">
    <w:p w14:paraId="7FAA9679" w14:textId="77777777" w:rsidR="00734E14" w:rsidRDefault="00734E14" w:rsidP="00734E14">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B050"/>
          <w:rtl/>
        </w:rPr>
        <w:t>أَوْفُوا</w:t>
      </w:r>
      <w:r>
        <w:rPr>
          <w:rFonts w:ascii="Simplified Arabic" w:hAnsi="Simplified Arabic" w:cs="Simplified Arabic"/>
          <w:rtl/>
        </w:rPr>
        <w:t>}: أَدُّوا مع التَّمام. وأصلُ الوفاء: تمامُ الشَّيءِ، وإتْمامُ العَهدِ، والقيامُ بمُقتضاه، وإكمالُ الشَّرط. انظر: مقاييس اللغة، (6/129)؛ المفردات، (ص878).</w:t>
      </w:r>
    </w:p>
  </w:footnote>
  <w:footnote w:id="2">
    <w:p w14:paraId="4E5BA089" w14:textId="77777777" w:rsidR="00734E14" w:rsidRDefault="00734E14" w:rsidP="00734E14">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B050"/>
          <w:rtl/>
        </w:rPr>
        <w:t>بِالْعُقُودِ</w:t>
      </w:r>
      <w:r>
        <w:rPr>
          <w:rFonts w:ascii="Simplified Arabic" w:hAnsi="Simplified Arabic" w:cs="Simplified Arabic"/>
          <w:rtl/>
        </w:rPr>
        <w:t>}: بِالعُهود المُوَثَّقَةِ. وأصلُ (عقد) يدلُّ على: شَدٍّ، وشِدَّةِ وُثُوقٍ. انظر: مقاييس اللغة، (4/86)؛ تذكرة الأريب، لابن الجوزي (ص78).</w:t>
      </w:r>
    </w:p>
  </w:footnote>
  <w:footnote w:id="3">
    <w:p w14:paraId="2C2A75EC" w14:textId="77777777" w:rsidR="00734E14" w:rsidRDefault="00734E14" w:rsidP="00734E1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المائدة، (1/7).</w:t>
      </w:r>
    </w:p>
  </w:footnote>
  <w:footnote w:id="4">
    <w:p w14:paraId="73FAA384" w14:textId="77777777" w:rsidR="00734E14" w:rsidRDefault="00734E14" w:rsidP="00734E14">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السعدي، (ص218).</w:t>
      </w:r>
    </w:p>
  </w:footnote>
  <w:footnote w:id="5">
    <w:p w14:paraId="715FF569" w14:textId="77777777" w:rsidR="00734E14" w:rsidRDefault="00734E14" w:rsidP="00734E14">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color w:val="0070C0"/>
          <w:sz w:val="20"/>
          <w:szCs w:val="20"/>
          <w:rtl/>
        </w:rPr>
        <w:t>المُستأمَنون</w:t>
      </w:r>
      <w:r>
        <w:rPr>
          <w:rFonts w:ascii="Simplified Arabic" w:hAnsi="Simplified Arabic" w:cs="Simplified Arabic"/>
          <w:sz w:val="20"/>
          <w:szCs w:val="20"/>
          <w:rtl/>
        </w:rPr>
        <w:t>: هم الكُفَّار الذين يُؤذَنُ لهم بدخول بلاد المسلمين والإقامةِ فيها لمدة مُحدَّدة؛ كالسُّفراء، والتُّجار، والعُمَّال، والزُوَّار، ونحوهم.</w:t>
      </w:r>
    </w:p>
  </w:footnote>
  <w:footnote w:id="6">
    <w:p w14:paraId="0956C418" w14:textId="77777777" w:rsidR="00734E14" w:rsidRDefault="00734E14" w:rsidP="00734E14">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color w:val="0070C0"/>
          <w:sz w:val="20"/>
          <w:szCs w:val="20"/>
          <w:rtl/>
        </w:rPr>
        <w:t>أهل الذّمَّة</w:t>
      </w:r>
      <w:r>
        <w:rPr>
          <w:rFonts w:ascii="Simplified Arabic" w:hAnsi="Simplified Arabic" w:cs="Simplified Arabic"/>
          <w:sz w:val="20"/>
          <w:szCs w:val="20"/>
          <w:rtl/>
        </w:rPr>
        <w:t>: هم الكُفَّار من أهل الدِّيار الإسلامية، وقام بينهم وبين المسلمين عهدٌ يستوجِبُ عِصمَةَ دمائهم وأموالِهم وأعراضِهم، ووجوب حمايتهم؛ مقابل خضوعهم لسلطان الدًَّولة. انظر: مجموع فتاوى ورسائل ابن عثيمين، (7/296).</w:t>
      </w:r>
    </w:p>
  </w:footnote>
  <w:footnote w:id="7">
    <w:p w14:paraId="60AD8570" w14:textId="77777777" w:rsidR="00734E14" w:rsidRDefault="00734E14" w:rsidP="00734E14">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70C0"/>
          <w:rtl/>
        </w:rPr>
        <w:t>المُعَاهَد</w:t>
      </w:r>
      <w:r>
        <w:rPr>
          <w:rFonts w:ascii="Simplified Arabic" w:hAnsi="Simplified Arabic" w:cs="Simplified Arabic"/>
          <w:rtl/>
        </w:rPr>
        <w:t>: هو الكافِرُ الذي له عَهْدٌ شَرعِيٌّ مع المسلمين؛ سواء كان بعقد جِزيةٍ، أو هُدنةٍ من سلطانٍ، أو أمانٍ من مُسْلِمٍ. انظر: فتح ذي الجلال والإكرام بشرح بلوغ المرام، لابن عثيمين (5/235).</w:t>
      </w:r>
    </w:p>
  </w:footnote>
  <w:footnote w:id="8">
    <w:p w14:paraId="7BE506C8" w14:textId="77777777" w:rsidR="00734E14" w:rsidRDefault="00734E14" w:rsidP="00734E14">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70C0"/>
          <w:rtl/>
        </w:rPr>
        <w:t>يَرَحْ</w:t>
      </w:r>
      <w:r>
        <w:rPr>
          <w:rFonts w:ascii="Simplified Arabic" w:hAnsi="Simplified Arabic" w:cs="Simplified Arabic"/>
          <w:rtl/>
        </w:rPr>
        <w:t>: أَيْ: لَمْ يَشُمَّ رِيحَها. انظر: النهاية في غريب الحديث والأثر، (2/272).</w:t>
      </w:r>
    </w:p>
  </w:footnote>
  <w:footnote w:id="9">
    <w:p w14:paraId="1C42127B" w14:textId="77777777" w:rsidR="00734E14" w:rsidRDefault="00734E14" w:rsidP="00734E1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الفتاوى الكبرى، (4/88).</w:t>
      </w:r>
    </w:p>
  </w:footnote>
  <w:footnote w:id="10">
    <w:p w14:paraId="2DCBBAD9" w14:textId="77777777" w:rsidR="00734E14" w:rsidRDefault="00734E14" w:rsidP="00734E1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جرير، (8/53).</w:t>
      </w:r>
    </w:p>
  </w:footnote>
  <w:footnote w:id="11">
    <w:p w14:paraId="7BCBD937" w14:textId="77777777" w:rsidR="00734E14" w:rsidRDefault="00734E14" w:rsidP="00734E1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المائدة، (1/6).</w:t>
      </w:r>
    </w:p>
  </w:footnote>
  <w:footnote w:id="12">
    <w:p w14:paraId="565910A2" w14:textId="77777777" w:rsidR="00734E14" w:rsidRDefault="00734E14" w:rsidP="00734E1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المائدة، (1/11).</w:t>
      </w:r>
    </w:p>
  </w:footnote>
  <w:footnote w:id="13">
    <w:p w14:paraId="31E00838" w14:textId="77777777" w:rsidR="00734E14" w:rsidRDefault="00734E14" w:rsidP="00734E14">
      <w:pPr>
        <w:pStyle w:val="aa"/>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w:t>
      </w:r>
      <w:r>
        <w:rPr>
          <w:rFonts w:ascii="Simplified Arabic" w:hAnsi="Simplified Arabic" w:cs="Simplified Arabic"/>
          <w:rtl/>
        </w:rPr>
        <w:t>انظر: تفسير ابن عثيمين – المائدة، (1/12).</w:t>
      </w:r>
    </w:p>
  </w:footnote>
  <w:footnote w:id="14">
    <w:p w14:paraId="7AA81F5C" w14:textId="77777777" w:rsidR="00734E14" w:rsidRDefault="00734E14" w:rsidP="00734E14">
      <w:pPr>
        <w:pStyle w:val="aa"/>
        <w:rPr>
          <w:rFonts w:hint="cs"/>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w:t>
      </w:r>
      <w:r>
        <w:rPr>
          <w:rFonts w:ascii="Simplified Arabic" w:hAnsi="Simplified Arabic" w:cs="Simplified Arabic"/>
          <w:rtl/>
        </w:rPr>
        <w:t>انظر: تفسير ابن عثيمين – المائدة، (1/11،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DB9"/>
    <w:multiLevelType w:val="hybridMultilevel"/>
    <w:tmpl w:val="0920522A"/>
    <w:lvl w:ilvl="0" w:tplc="B82C2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76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1C"/>
    <w:rsid w:val="000042A8"/>
    <w:rsid w:val="00004D8F"/>
    <w:rsid w:val="00007308"/>
    <w:rsid w:val="0002334C"/>
    <w:rsid w:val="00023CD1"/>
    <w:rsid w:val="00036469"/>
    <w:rsid w:val="00036CC1"/>
    <w:rsid w:val="00040DEA"/>
    <w:rsid w:val="00045E39"/>
    <w:rsid w:val="00064B5F"/>
    <w:rsid w:val="00073A9C"/>
    <w:rsid w:val="00077B48"/>
    <w:rsid w:val="00095E36"/>
    <w:rsid w:val="000A05E3"/>
    <w:rsid w:val="000A470D"/>
    <w:rsid w:val="000B16D9"/>
    <w:rsid w:val="000C1D27"/>
    <w:rsid w:val="000D20A2"/>
    <w:rsid w:val="000D3A39"/>
    <w:rsid w:val="000E32DE"/>
    <w:rsid w:val="000E48EC"/>
    <w:rsid w:val="00103FF2"/>
    <w:rsid w:val="001060D5"/>
    <w:rsid w:val="001122D4"/>
    <w:rsid w:val="00115E9E"/>
    <w:rsid w:val="00123963"/>
    <w:rsid w:val="00123982"/>
    <w:rsid w:val="0012685C"/>
    <w:rsid w:val="00140A86"/>
    <w:rsid w:val="00146EE4"/>
    <w:rsid w:val="001471A1"/>
    <w:rsid w:val="001729C1"/>
    <w:rsid w:val="001A26A6"/>
    <w:rsid w:val="001C2787"/>
    <w:rsid w:val="001C39ED"/>
    <w:rsid w:val="001D5936"/>
    <w:rsid w:val="001D6AC8"/>
    <w:rsid w:val="001E6A12"/>
    <w:rsid w:val="0020614D"/>
    <w:rsid w:val="00213135"/>
    <w:rsid w:val="00221709"/>
    <w:rsid w:val="002304CF"/>
    <w:rsid w:val="002467C9"/>
    <w:rsid w:val="00250A0B"/>
    <w:rsid w:val="0025518B"/>
    <w:rsid w:val="0026317C"/>
    <w:rsid w:val="00265BC7"/>
    <w:rsid w:val="00273462"/>
    <w:rsid w:val="0029712D"/>
    <w:rsid w:val="002A5B8F"/>
    <w:rsid w:val="002B5FB0"/>
    <w:rsid w:val="002B773E"/>
    <w:rsid w:val="002D6032"/>
    <w:rsid w:val="002F57E8"/>
    <w:rsid w:val="00300BB3"/>
    <w:rsid w:val="003272AD"/>
    <w:rsid w:val="0032760E"/>
    <w:rsid w:val="003424B2"/>
    <w:rsid w:val="00362A2C"/>
    <w:rsid w:val="003704D3"/>
    <w:rsid w:val="00373C38"/>
    <w:rsid w:val="00376043"/>
    <w:rsid w:val="00391DBE"/>
    <w:rsid w:val="003939E6"/>
    <w:rsid w:val="003A427A"/>
    <w:rsid w:val="003B29D4"/>
    <w:rsid w:val="003C1A5E"/>
    <w:rsid w:val="003E73A1"/>
    <w:rsid w:val="00404175"/>
    <w:rsid w:val="00431DD5"/>
    <w:rsid w:val="00436817"/>
    <w:rsid w:val="004415A0"/>
    <w:rsid w:val="00442F9C"/>
    <w:rsid w:val="004520B3"/>
    <w:rsid w:val="004728F3"/>
    <w:rsid w:val="00480831"/>
    <w:rsid w:val="00485FA7"/>
    <w:rsid w:val="004B0278"/>
    <w:rsid w:val="004C6549"/>
    <w:rsid w:val="004D2366"/>
    <w:rsid w:val="004F461A"/>
    <w:rsid w:val="00510663"/>
    <w:rsid w:val="00525D6A"/>
    <w:rsid w:val="00527AAF"/>
    <w:rsid w:val="0053028C"/>
    <w:rsid w:val="00530B7B"/>
    <w:rsid w:val="00545637"/>
    <w:rsid w:val="00547095"/>
    <w:rsid w:val="005518E4"/>
    <w:rsid w:val="00552732"/>
    <w:rsid w:val="0056179B"/>
    <w:rsid w:val="00585673"/>
    <w:rsid w:val="00591C50"/>
    <w:rsid w:val="005965CC"/>
    <w:rsid w:val="005B4E0B"/>
    <w:rsid w:val="005C500E"/>
    <w:rsid w:val="005E3DE7"/>
    <w:rsid w:val="005E4CDF"/>
    <w:rsid w:val="005E70E2"/>
    <w:rsid w:val="005E7A22"/>
    <w:rsid w:val="005F300A"/>
    <w:rsid w:val="005F326B"/>
    <w:rsid w:val="005F4EFF"/>
    <w:rsid w:val="00600002"/>
    <w:rsid w:val="00603899"/>
    <w:rsid w:val="0060661C"/>
    <w:rsid w:val="00613C67"/>
    <w:rsid w:val="00626D95"/>
    <w:rsid w:val="00631784"/>
    <w:rsid w:val="00652B64"/>
    <w:rsid w:val="00654AD1"/>
    <w:rsid w:val="0067605A"/>
    <w:rsid w:val="006853AE"/>
    <w:rsid w:val="006873B0"/>
    <w:rsid w:val="00697950"/>
    <w:rsid w:val="00697BAC"/>
    <w:rsid w:val="006A0585"/>
    <w:rsid w:val="006A1A6F"/>
    <w:rsid w:val="006A773B"/>
    <w:rsid w:val="006A7DBB"/>
    <w:rsid w:val="006C2844"/>
    <w:rsid w:val="006C64E6"/>
    <w:rsid w:val="006E0D5F"/>
    <w:rsid w:val="006E1FB3"/>
    <w:rsid w:val="006E4C7C"/>
    <w:rsid w:val="006F6C61"/>
    <w:rsid w:val="006F6C9A"/>
    <w:rsid w:val="0070444C"/>
    <w:rsid w:val="00712420"/>
    <w:rsid w:val="00714EDC"/>
    <w:rsid w:val="00715DC0"/>
    <w:rsid w:val="00727812"/>
    <w:rsid w:val="00730E31"/>
    <w:rsid w:val="00734E14"/>
    <w:rsid w:val="007417C0"/>
    <w:rsid w:val="0074235E"/>
    <w:rsid w:val="007732A3"/>
    <w:rsid w:val="00777BCC"/>
    <w:rsid w:val="007802FC"/>
    <w:rsid w:val="00783150"/>
    <w:rsid w:val="007A3B16"/>
    <w:rsid w:val="007C50A1"/>
    <w:rsid w:val="007D3825"/>
    <w:rsid w:val="007E454D"/>
    <w:rsid w:val="0082785B"/>
    <w:rsid w:val="00853349"/>
    <w:rsid w:val="0086051B"/>
    <w:rsid w:val="008730B6"/>
    <w:rsid w:val="00875AA2"/>
    <w:rsid w:val="00877CF3"/>
    <w:rsid w:val="00881F37"/>
    <w:rsid w:val="0088490A"/>
    <w:rsid w:val="008852DB"/>
    <w:rsid w:val="008C150A"/>
    <w:rsid w:val="008D74E1"/>
    <w:rsid w:val="008F5C1D"/>
    <w:rsid w:val="00903AC1"/>
    <w:rsid w:val="00905000"/>
    <w:rsid w:val="00944087"/>
    <w:rsid w:val="00951C33"/>
    <w:rsid w:val="009609DD"/>
    <w:rsid w:val="00962BE3"/>
    <w:rsid w:val="0096466B"/>
    <w:rsid w:val="00971F40"/>
    <w:rsid w:val="009977E8"/>
    <w:rsid w:val="009B49F1"/>
    <w:rsid w:val="009C3367"/>
    <w:rsid w:val="009E560C"/>
    <w:rsid w:val="009E5617"/>
    <w:rsid w:val="009E6DFF"/>
    <w:rsid w:val="00A11833"/>
    <w:rsid w:val="00A13BCF"/>
    <w:rsid w:val="00A317D4"/>
    <w:rsid w:val="00A33334"/>
    <w:rsid w:val="00A355BF"/>
    <w:rsid w:val="00A37D64"/>
    <w:rsid w:val="00A41B6E"/>
    <w:rsid w:val="00A46691"/>
    <w:rsid w:val="00A57FF6"/>
    <w:rsid w:val="00A64671"/>
    <w:rsid w:val="00A71264"/>
    <w:rsid w:val="00A7205C"/>
    <w:rsid w:val="00A85413"/>
    <w:rsid w:val="00A86B3A"/>
    <w:rsid w:val="00A8712E"/>
    <w:rsid w:val="00A87480"/>
    <w:rsid w:val="00AA13AD"/>
    <w:rsid w:val="00AB3F1F"/>
    <w:rsid w:val="00AC2F8F"/>
    <w:rsid w:val="00AD56FD"/>
    <w:rsid w:val="00AE5AD8"/>
    <w:rsid w:val="00AF0F0D"/>
    <w:rsid w:val="00B03C08"/>
    <w:rsid w:val="00B1197B"/>
    <w:rsid w:val="00B15AC5"/>
    <w:rsid w:val="00B17EBC"/>
    <w:rsid w:val="00B25E3E"/>
    <w:rsid w:val="00B400F0"/>
    <w:rsid w:val="00B677B2"/>
    <w:rsid w:val="00B71C92"/>
    <w:rsid w:val="00B86333"/>
    <w:rsid w:val="00BA23DF"/>
    <w:rsid w:val="00BA259B"/>
    <w:rsid w:val="00BA5C85"/>
    <w:rsid w:val="00BC3AF9"/>
    <w:rsid w:val="00BF3AF7"/>
    <w:rsid w:val="00BF4255"/>
    <w:rsid w:val="00C218FB"/>
    <w:rsid w:val="00C36220"/>
    <w:rsid w:val="00C3792A"/>
    <w:rsid w:val="00C43D8C"/>
    <w:rsid w:val="00C46EFC"/>
    <w:rsid w:val="00C47CC9"/>
    <w:rsid w:val="00C549ED"/>
    <w:rsid w:val="00C73018"/>
    <w:rsid w:val="00C838D0"/>
    <w:rsid w:val="00C90652"/>
    <w:rsid w:val="00CD13CC"/>
    <w:rsid w:val="00CD1E45"/>
    <w:rsid w:val="00CF4FB9"/>
    <w:rsid w:val="00D07C0F"/>
    <w:rsid w:val="00D141F1"/>
    <w:rsid w:val="00D370B5"/>
    <w:rsid w:val="00D546B9"/>
    <w:rsid w:val="00D60B2D"/>
    <w:rsid w:val="00D72BE2"/>
    <w:rsid w:val="00D845AD"/>
    <w:rsid w:val="00DB6D1F"/>
    <w:rsid w:val="00DD54F1"/>
    <w:rsid w:val="00DE6E0A"/>
    <w:rsid w:val="00DF0C80"/>
    <w:rsid w:val="00DF2761"/>
    <w:rsid w:val="00DF3D96"/>
    <w:rsid w:val="00DF433C"/>
    <w:rsid w:val="00E2795E"/>
    <w:rsid w:val="00E33524"/>
    <w:rsid w:val="00E46B4A"/>
    <w:rsid w:val="00E52274"/>
    <w:rsid w:val="00E62D5A"/>
    <w:rsid w:val="00E65D3A"/>
    <w:rsid w:val="00E66AD0"/>
    <w:rsid w:val="00E67588"/>
    <w:rsid w:val="00E75C05"/>
    <w:rsid w:val="00E77F3D"/>
    <w:rsid w:val="00EB240B"/>
    <w:rsid w:val="00EC641C"/>
    <w:rsid w:val="00EC647D"/>
    <w:rsid w:val="00EC7E82"/>
    <w:rsid w:val="00ED31CF"/>
    <w:rsid w:val="00EE4EB3"/>
    <w:rsid w:val="00EF2EA2"/>
    <w:rsid w:val="00EF462B"/>
    <w:rsid w:val="00EF752C"/>
    <w:rsid w:val="00F02CF8"/>
    <w:rsid w:val="00F050A7"/>
    <w:rsid w:val="00F0675A"/>
    <w:rsid w:val="00F11323"/>
    <w:rsid w:val="00F12C55"/>
    <w:rsid w:val="00F36AE1"/>
    <w:rsid w:val="00F42459"/>
    <w:rsid w:val="00F45996"/>
    <w:rsid w:val="00F519B5"/>
    <w:rsid w:val="00F5453F"/>
    <w:rsid w:val="00F63DFD"/>
    <w:rsid w:val="00F64A50"/>
    <w:rsid w:val="00F818D2"/>
    <w:rsid w:val="00F86BAE"/>
    <w:rsid w:val="00F9065A"/>
    <w:rsid w:val="00FA1824"/>
    <w:rsid w:val="00FA6D7A"/>
    <w:rsid w:val="00FC5846"/>
    <w:rsid w:val="00FE350A"/>
    <w:rsid w:val="00FE52AD"/>
    <w:rsid w:val="00FE5371"/>
    <w:rsid w:val="00FF2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7980"/>
  <w15:chartTrackingRefBased/>
  <w15:docId w15:val="{90B0E1D2-8337-47B0-B416-41EBD9CA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367"/>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60661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0661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0661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0661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60661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6066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6066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6066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60661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0661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0661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0661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0661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0661C"/>
    <w:rPr>
      <w:rFonts w:eastAsiaTheme="majorEastAsia" w:cstheme="majorBidi"/>
      <w:color w:val="2F5496" w:themeColor="accent1" w:themeShade="BF"/>
    </w:rPr>
  </w:style>
  <w:style w:type="character" w:customStyle="1" w:styleId="6Char">
    <w:name w:val="عنوان 6 Char"/>
    <w:basedOn w:val="a0"/>
    <w:link w:val="6"/>
    <w:uiPriority w:val="9"/>
    <w:semiHidden/>
    <w:rsid w:val="0060661C"/>
    <w:rPr>
      <w:rFonts w:eastAsiaTheme="majorEastAsia" w:cstheme="majorBidi"/>
      <w:i/>
      <w:iCs/>
      <w:color w:val="595959" w:themeColor="text1" w:themeTint="A6"/>
    </w:rPr>
  </w:style>
  <w:style w:type="character" w:customStyle="1" w:styleId="7Char">
    <w:name w:val="عنوان 7 Char"/>
    <w:basedOn w:val="a0"/>
    <w:link w:val="7"/>
    <w:uiPriority w:val="9"/>
    <w:semiHidden/>
    <w:rsid w:val="0060661C"/>
    <w:rPr>
      <w:rFonts w:eastAsiaTheme="majorEastAsia" w:cstheme="majorBidi"/>
      <w:color w:val="595959" w:themeColor="text1" w:themeTint="A6"/>
    </w:rPr>
  </w:style>
  <w:style w:type="character" w:customStyle="1" w:styleId="8Char">
    <w:name w:val="عنوان 8 Char"/>
    <w:basedOn w:val="a0"/>
    <w:link w:val="8"/>
    <w:uiPriority w:val="9"/>
    <w:semiHidden/>
    <w:rsid w:val="0060661C"/>
    <w:rPr>
      <w:rFonts w:eastAsiaTheme="majorEastAsia" w:cstheme="majorBidi"/>
      <w:i/>
      <w:iCs/>
      <w:color w:val="272727" w:themeColor="text1" w:themeTint="D8"/>
    </w:rPr>
  </w:style>
  <w:style w:type="character" w:customStyle="1" w:styleId="9Char">
    <w:name w:val="عنوان 9 Char"/>
    <w:basedOn w:val="a0"/>
    <w:link w:val="9"/>
    <w:uiPriority w:val="9"/>
    <w:semiHidden/>
    <w:rsid w:val="0060661C"/>
    <w:rPr>
      <w:rFonts w:eastAsiaTheme="majorEastAsia" w:cstheme="majorBidi"/>
      <w:color w:val="272727" w:themeColor="text1" w:themeTint="D8"/>
    </w:rPr>
  </w:style>
  <w:style w:type="paragraph" w:styleId="a3">
    <w:name w:val="Title"/>
    <w:basedOn w:val="a"/>
    <w:next w:val="a"/>
    <w:link w:val="Char"/>
    <w:uiPriority w:val="10"/>
    <w:qFormat/>
    <w:rsid w:val="006066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066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66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066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661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60661C"/>
    <w:rPr>
      <w:i/>
      <w:iCs/>
      <w:color w:val="404040" w:themeColor="text1" w:themeTint="BF"/>
    </w:rPr>
  </w:style>
  <w:style w:type="paragraph" w:styleId="a6">
    <w:name w:val="List Paragraph"/>
    <w:basedOn w:val="a"/>
    <w:uiPriority w:val="34"/>
    <w:qFormat/>
    <w:rsid w:val="0060661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60661C"/>
    <w:rPr>
      <w:i/>
      <w:iCs/>
      <w:color w:val="2F5496" w:themeColor="accent1" w:themeShade="BF"/>
    </w:rPr>
  </w:style>
  <w:style w:type="paragraph" w:styleId="a8">
    <w:name w:val="Intense Quote"/>
    <w:basedOn w:val="a"/>
    <w:next w:val="a"/>
    <w:link w:val="Char2"/>
    <w:uiPriority w:val="30"/>
    <w:qFormat/>
    <w:rsid w:val="0060661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60661C"/>
    <w:rPr>
      <w:i/>
      <w:iCs/>
      <w:color w:val="2F5496" w:themeColor="accent1" w:themeShade="BF"/>
    </w:rPr>
  </w:style>
  <w:style w:type="character" w:styleId="a9">
    <w:name w:val="Intense Reference"/>
    <w:basedOn w:val="a0"/>
    <w:uiPriority w:val="32"/>
    <w:qFormat/>
    <w:rsid w:val="0060661C"/>
    <w:rPr>
      <w:b/>
      <w:bCs/>
      <w:smallCaps/>
      <w:color w:val="2F5496" w:themeColor="accent1" w:themeShade="BF"/>
      <w:spacing w:val="5"/>
    </w:rPr>
  </w:style>
  <w:style w:type="character" w:customStyle="1" w:styleId="highlight">
    <w:name w:val="highlight"/>
    <w:basedOn w:val="a0"/>
    <w:rsid w:val="00D141F1"/>
  </w:style>
  <w:style w:type="paragraph" w:styleId="aa">
    <w:name w:val="footnote text"/>
    <w:basedOn w:val="a"/>
    <w:link w:val="Char3"/>
    <w:uiPriority w:val="99"/>
    <w:semiHidden/>
    <w:unhideWhenUsed/>
    <w:rsid w:val="00BF3AF7"/>
    <w:rPr>
      <w:sz w:val="20"/>
      <w:szCs w:val="20"/>
    </w:rPr>
  </w:style>
  <w:style w:type="character" w:customStyle="1" w:styleId="Char3">
    <w:name w:val="نص حاشية سفلية Char"/>
    <w:basedOn w:val="a0"/>
    <w:link w:val="aa"/>
    <w:uiPriority w:val="99"/>
    <w:semiHidden/>
    <w:rsid w:val="00BF3AF7"/>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BF3AF7"/>
    <w:rPr>
      <w:vertAlign w:val="superscript"/>
    </w:rPr>
  </w:style>
  <w:style w:type="paragraph" w:styleId="ac">
    <w:name w:val="Normal (Web)"/>
    <w:basedOn w:val="a"/>
    <w:uiPriority w:val="99"/>
    <w:semiHidden/>
    <w:unhideWhenUsed/>
    <w:rsid w:val="00103FF2"/>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48875">
      <w:bodyDiv w:val="1"/>
      <w:marLeft w:val="0"/>
      <w:marRight w:val="0"/>
      <w:marTop w:val="0"/>
      <w:marBottom w:val="0"/>
      <w:divBdr>
        <w:top w:val="none" w:sz="0" w:space="0" w:color="auto"/>
        <w:left w:val="none" w:sz="0" w:space="0" w:color="auto"/>
        <w:bottom w:val="none" w:sz="0" w:space="0" w:color="auto"/>
        <w:right w:val="none" w:sz="0" w:space="0" w:color="auto"/>
      </w:divBdr>
    </w:div>
    <w:div w:id="7252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2726</TotalTime>
  <Pages>5</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272</cp:revision>
  <dcterms:created xsi:type="dcterms:W3CDTF">2025-05-22T11:02:00Z</dcterms:created>
  <dcterms:modified xsi:type="dcterms:W3CDTF">2025-06-24T01:55:00Z</dcterms:modified>
</cp:coreProperties>
</file>