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78CFC34" w14:textId="77777777" w:rsidR="00EE52B7" w:rsidRDefault="00EE52B7" w:rsidP="00EE52B7">
      <w:pPr>
        <w:spacing w:after="0" w:line="240" w:lineRule="auto"/>
        <w:jc w:val="center"/>
        <w:rPr>
          <w:rFonts w:ascii="Times New Roman" w:eastAsia="Times New Roman" w:hAnsi="Times New Roman" w:cs="Simplified Arabic"/>
          <w:b/>
          <w:bCs/>
          <w:color w:val="00B050"/>
          <w:kern w:val="0"/>
          <w:sz w:val="32"/>
          <w:szCs w:val="32"/>
          <w14:ligatures w14:val="none"/>
        </w:rPr>
      </w:pPr>
      <w:r>
        <w:rPr>
          <w:rFonts w:ascii="Times New Roman" w:eastAsia="Times New Roman" w:hAnsi="Times New Roman" w:cs="Simplified Arabic"/>
          <w:b/>
          <w:bCs/>
          <w:color w:val="00B050"/>
          <w:kern w:val="0"/>
          <w:sz w:val="32"/>
          <w:szCs w:val="32"/>
          <w:rtl/>
          <w14:ligatures w14:val="none"/>
        </w:rPr>
        <w:t>ونضع الموازين القسط ليوم القيامة</w:t>
      </w:r>
    </w:p>
    <w:p w14:paraId="46B40173" w14:textId="77777777" w:rsidR="00EE52B7" w:rsidRDefault="00EE52B7" w:rsidP="00EE52B7">
      <w:pPr>
        <w:bidi w:val="0"/>
        <w:spacing w:after="0" w:line="240" w:lineRule="auto"/>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02A87937"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إِنَّ ‌الْحَمْدَ ‌لِلَّهِ ‌نَحْمَدُهُ وَنَسْتَعِينُهُ، مَنْ يَهْدِهِ اللَّهُ فَلَا مُضِلَّ لَهُ، وَمَنْ يُضْلِلِ اللَّهُ فَلَا هَادِيَ لَهُ، وَأَشْهَدُ أَنْ لَا إِلَهَ إِلَّا اللَّهُ وَحْدَهُ لَا شَرِيكَ لَهُ، وَأَشْهَدُ أَنَّ مُحَمَّدًا عَبْدُهُ وَرَسُولُهُ، أَمَّا بَعْدُ: </w:t>
      </w:r>
      <w:r>
        <w:rPr>
          <w:rFonts w:ascii="Simplified Arabic" w:eastAsia="Times New Roman" w:hAnsi="Simplified Arabic" w:cs="Simplified Arabic"/>
          <w:b/>
          <w:bCs/>
          <w:color w:val="C00000"/>
          <w:kern w:val="0"/>
          <w:sz w:val="32"/>
          <w:szCs w:val="32"/>
          <w:rtl/>
          <w14:ligatures w14:val="none"/>
        </w:rPr>
        <w:t>الْمِيزَانُ لُغَةً</w:t>
      </w:r>
      <w:r>
        <w:rPr>
          <w:rFonts w:ascii="Simplified Arabic" w:eastAsia="Times New Roman" w:hAnsi="Simplified Arabic" w:cs="Simplified Arabic"/>
          <w:kern w:val="0"/>
          <w:sz w:val="32"/>
          <w:szCs w:val="32"/>
          <w:rtl/>
          <w14:ligatures w14:val="none"/>
        </w:rPr>
        <w:t>: مَا ‌تُقَدَّرُ ‌بِهِ ‌الْأَشْيَاءُ، خِفَّةً وَثِقَلًا</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1"/>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وَشَرْعًا</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color w:val="000000"/>
          <w:kern w:val="0"/>
          <w:sz w:val="32"/>
          <w:szCs w:val="32"/>
          <w:rtl/>
          <w14:ligatures w14:val="none"/>
        </w:rPr>
        <w:t>هُوَ مِيزَانٌ حَقِيقِيٌّ، لَهُ كِفَّتَانِ يَضَعُهُ اللَّهُ تَعَالَى يَوْمَ الْقِيَامَةِ؛ لِوَزْنِ أَعْمَالِ الْعِبَادِ، وَهُوَ مِيزَانٌ دَقِيقٌ، لَا يَزِيدُ وَلَا يَنْقُصُ، وَلَا يَقْدِرُ قَدْرَ هَذَا الْمِيزَانِ إِلَّا اللَّهُ سُبْحَانَهُ</w:t>
      </w:r>
      <w:r>
        <w:rPr>
          <w:rFonts w:ascii="Simplified Arabic" w:eastAsia="Times New Roman" w:hAnsi="Simplified Arabic" w:cs="Simplified Arabic"/>
          <w:color w:val="000000"/>
          <w:kern w:val="0"/>
          <w:sz w:val="32"/>
          <w:szCs w:val="32"/>
          <w:vertAlign w:val="superscript"/>
          <w:rtl/>
          <w14:ligatures w14:val="none"/>
        </w:rPr>
        <w:t>(</w:t>
      </w:r>
      <w:r>
        <w:rPr>
          <w:rFonts w:ascii="Simplified Arabic" w:eastAsia="Times New Roman" w:hAnsi="Simplified Arabic" w:cs="Simplified Arabic"/>
          <w:color w:val="000000"/>
          <w:kern w:val="0"/>
          <w:sz w:val="32"/>
          <w:szCs w:val="32"/>
          <w:vertAlign w:val="superscript"/>
          <w:rtl/>
          <w14:ligatures w14:val="none"/>
        </w:rPr>
        <w:footnoteReference w:id="2"/>
      </w:r>
      <w:r>
        <w:rPr>
          <w:rFonts w:ascii="Simplified Arabic" w:eastAsia="Times New Roman" w:hAnsi="Simplified Arabic" w:cs="Simplified Arabic"/>
          <w:color w:val="000000"/>
          <w:kern w:val="0"/>
          <w:sz w:val="32"/>
          <w:szCs w:val="32"/>
          <w:vertAlign w:val="superscript"/>
          <w:rtl/>
          <w14:ligatures w14:val="none"/>
        </w:rPr>
        <w:t>)</w:t>
      </w:r>
      <w:r>
        <w:rPr>
          <w:rFonts w:ascii="Simplified Arabic" w:eastAsia="Times New Roman" w:hAnsi="Simplified Arabic" w:cs="Simplified Arabic"/>
          <w:color w:val="0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فَقَدْ صَحَّ عَنْ سَلْمَانَ رَضِيَ اللَّهُ عَنْهُ أَنَّهُ قَالَ: «</w:t>
      </w:r>
      <w:r>
        <w:rPr>
          <w:rFonts w:ascii="Simplified Arabic" w:eastAsia="Times New Roman" w:hAnsi="Simplified Arabic" w:cs="Simplified Arabic"/>
          <w:b/>
          <w:bCs/>
          <w:kern w:val="0"/>
          <w:sz w:val="32"/>
          <w:szCs w:val="32"/>
          <w:rtl/>
          <w14:ligatures w14:val="none"/>
        </w:rPr>
        <w:t>‌يُوضَعُ ‌الْمِيزَانُ ‌يَوْمَ الْقِيَامَةِ، فَلَوْ أَنَّ فِيهِ السَّمَاوَاتِ وَالْأَرْضَ لَوُسِعَتْ، فَتَقُولُ الْمَلَائِكَةُ: يَا رَبِّ، لِمَنْ تَزِنُ بِهَذَا؟ فَيَقُولُ: لِمَنْ شِئْتُ مِنْ خَلْقِي، فَيَقُولُونَ: سُبْحَانَكَ، مَا عَبَدْنَاكَ حَقَّ عِبَادَتِكَ</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3"/>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وَقَالَ ابْنُ مَسْعُودٍ رَضِيَ اللَّهُ عَنْهُ: «لِلنَّاسِ عِنْدَ الْمِيزَانِ ‌تَجَادُلٌ ‌وَزِحَامٌ»</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4"/>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xml:space="preserve">. </w:t>
      </w:r>
    </w:p>
    <w:p w14:paraId="143EDDB1"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وَأَهْلُ السُّنَّةِ وَالْجَمَاعَةِ يُؤْمِنُونَ بِالْمِيزَانِ، وَأَنَّهُ حَقٌّ، دَلَّ عَلَى ذَلِكَ الْكِتَابُ، وَالسُّنَّةُ، وَأَقْوَالُ السَّلَفِ</w:t>
      </w:r>
      <w:r>
        <w:rPr>
          <w:rFonts w:ascii="Simplified Arabic" w:eastAsia="Times New Roman" w:hAnsi="Simplified Arabic" w:cs="Simplified Arabic"/>
          <w:kern w:val="0"/>
          <w:sz w:val="32"/>
          <w:szCs w:val="32"/>
          <w:rtl/>
          <w14:ligatures w14:val="none"/>
        </w:rPr>
        <w:t>: قَالَ تَعَالَى: {</w:t>
      </w:r>
      <w:r>
        <w:rPr>
          <w:rFonts w:ascii="Times New Roman" w:eastAsia="Times New Roman" w:hAnsi="Times New Roman" w:cs="Simplified Arabic"/>
          <w:b/>
          <w:bCs/>
          <w:color w:val="00B050"/>
          <w:kern w:val="0"/>
          <w:sz w:val="32"/>
          <w:szCs w:val="32"/>
          <w:rtl/>
          <w14:ligatures w14:val="none"/>
        </w:rPr>
        <w:t>وَنَضَعُ الْمَوَازِينَ الْقِسْطَ لِيَوْمِ الْقِيَامَةِ فَلَا تُظْلَمُ نَفْسٌ شَيْئًا وَإِنْ كَانَ مِثْقَالَ حَبَّةٍ مِنْ خَرْدَلٍ أَتَيْنَا بِهَا وَكَفَى بِنَا حَاسِبِينَ</w:t>
      </w:r>
      <w:r>
        <w:rPr>
          <w:rFonts w:ascii="Simplified Arabic" w:eastAsia="Times New Roman" w:hAnsi="Simplified Arabic" w:cs="Simplified Arabic"/>
          <w:kern w:val="0"/>
          <w:sz w:val="32"/>
          <w:szCs w:val="32"/>
          <w:rtl/>
          <w14:ligatures w14:val="none"/>
        </w:rPr>
        <w:t>} [الْأَنْبِيَاءِ: 47]؛ وَقَالَ سُبْحَانَهُ: {</w:t>
      </w:r>
      <w:r>
        <w:rPr>
          <w:rFonts w:ascii="Times New Roman" w:eastAsia="Times New Roman" w:hAnsi="Times New Roman" w:cs="Simplified Arabic"/>
          <w:b/>
          <w:bCs/>
          <w:color w:val="00B050"/>
          <w:kern w:val="0"/>
          <w:sz w:val="32"/>
          <w:szCs w:val="32"/>
          <w:rtl/>
          <w14:ligatures w14:val="none"/>
        </w:rPr>
        <w:t>وَالْوَزْنُ يَوْمَئِذٍ الْحَقُّ فَمَنْ ثَقُلَتْ مَوَازِينُهُ فَأُوْلَئِكَ هُمُ الْمُفْلِحُونَ * وَمَنْ خَفَّتْ مَوَازِينُهُ فَأُوْلَئِكَ الَّذِينَ خَسِرُوا أَنْفُسَهُمْ بِمَا كَانُوا بِآيَاتِنَا يَظْلِمُونَ</w:t>
      </w:r>
      <w:r>
        <w:rPr>
          <w:rFonts w:ascii="Simplified Arabic" w:eastAsia="Times New Roman" w:hAnsi="Simplified Arabic" w:cs="Simplified Arabic"/>
          <w:kern w:val="0"/>
          <w:sz w:val="32"/>
          <w:szCs w:val="32"/>
          <w:rtl/>
          <w14:ligatures w14:val="none"/>
        </w:rPr>
        <w:t xml:space="preserve">} [الْأَعْرَافِ: 8، 9]. </w:t>
      </w:r>
    </w:p>
    <w:p w14:paraId="4ACB974F"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وَهُوَ مِيزَانٌ حِسِّيٌّ، وَلَهُ كِفَّتَانِ حِسِّيَّتَانِ</w:t>
      </w:r>
      <w:r>
        <w:rPr>
          <w:rFonts w:ascii="Simplified Arabic" w:eastAsia="Times New Roman" w:hAnsi="Simplified Arabic" w:cs="Simplified Arabic"/>
          <w:b/>
          <w:bCs/>
          <w:kern w:val="0"/>
          <w:sz w:val="32"/>
          <w:szCs w:val="32"/>
          <w:rtl/>
          <w14:ligatures w14:val="none"/>
        </w:rPr>
        <w:t>:</w:t>
      </w:r>
      <w:r>
        <w:rPr>
          <w:rFonts w:ascii="Simplified Arabic" w:eastAsia="Times New Roman" w:hAnsi="Simplified Arabic" w:cs="Simplified Arabic"/>
          <w:kern w:val="0"/>
          <w:sz w:val="32"/>
          <w:szCs w:val="32"/>
          <w:rtl/>
          <w14:ligatures w14:val="none"/>
        </w:rPr>
        <w:t xml:space="preserve"> قَالَ الْإِمَامُ أَحْمَدُ رَحِمَهُ اللَّهُ: (وَالْمِيزَانُ حَقٌّ، تُوزَنُ بِهِ الْحَسَنَاتُ وَالسَّيِّئَاتُ، كَمَا شَاءَ اللَّهُ أَنْ تُوزَنَ بِهِ)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وَقَالَ أَبُو إِسْحَاقَ الزَّجَّاجُ رَحِمَهُ اللَّهُ: (أَجْمَعَ أَهْلُ السُّنَّةِ: عَلَى الْإِيمَانِ بِالْمِيزَانِ، وَأَنَّ أَعْمَالَ الْعِبَادِ ‌تُوزَنُ ‌يَوْمَ ‌الْقِيَامَةِ، وَأَنَّ الْمِيزَانَ لَهُ لِسَانٌ وَكِفَّتَانِ، وَيَمِيلُ بِالْأَعْمَالِ)</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6"/>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xml:space="preserve">. </w:t>
      </w:r>
    </w:p>
    <w:p w14:paraId="7F789187" w14:textId="77777777" w:rsidR="00EE52B7" w:rsidRDefault="00EE52B7" w:rsidP="00EE52B7">
      <w:pPr>
        <w:spacing w:after="0" w:line="240" w:lineRule="auto"/>
        <w:ind w:firstLine="720"/>
        <w:jc w:val="both"/>
        <w:rPr>
          <w:rFonts w:ascii="Simplified Arabic" w:eastAsia="Times New Roman" w:hAnsi="Simplified Arabic" w:cs="Simplified Arabic"/>
          <w:b/>
          <w:bCs/>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lastRenderedPageBreak/>
        <w:t>وَيَدُلُّ عَلَيْهِ</w:t>
      </w:r>
      <w:r>
        <w:rPr>
          <w:rFonts w:ascii="Simplified Arabic" w:eastAsia="Times New Roman" w:hAnsi="Simplified Arabic" w:cs="Simplified Arabic"/>
          <w:kern w:val="0"/>
          <w:sz w:val="32"/>
          <w:szCs w:val="32"/>
          <w:rtl/>
          <w14:ligatures w14:val="none"/>
        </w:rPr>
        <w:t>: قَوْلُ النَّبِيِّ صَلَّى اللَّهُ عَلَيْهِ وَسَلَّمَ: «</w:t>
      </w:r>
      <w:r>
        <w:rPr>
          <w:rFonts w:ascii="Simplified Arabic" w:eastAsia="Times New Roman" w:hAnsi="Simplified Arabic" w:cs="Simplified Arabic"/>
          <w:b/>
          <w:bCs/>
          <w:kern w:val="0"/>
          <w:sz w:val="32"/>
          <w:szCs w:val="32"/>
          <w:rtl/>
          <w14:ligatures w14:val="none"/>
        </w:rPr>
        <w:t xml:space="preserve">إِنَّ اللَّهَ سَيُخَلِّصُ رَجُلًا مِنْ أُمَّتِي عَلَى رُؤُوسِ الْخَلَائِقِ يَوْمَ الْقِيَامَةِ، فَيَنْشُرُ عَلَيْهِ تِسْعَةً وَتِسْعِينَ سِجِلًّا، كُلُّ سِجِلٍّ مِثْلُ مَدِّ الْبَصَرِ، ثُمَّ يَقُولُ: أَتُنْكِرُ مِنْ هَذَا شَيْئًا؟ أَظَلَمَكَ كَتَبَتِي الْحَافِظُونَ؟ فَيَقُولُ: لَا يَا رَبِّ، فَيَقُولُ: أَفَلَكَ عُذْرٌ؟ فَيَقُولُ: لَا يَا رَبِّ. </w:t>
      </w:r>
    </w:p>
    <w:p w14:paraId="4F73F475"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kern w:val="0"/>
          <w:sz w:val="32"/>
          <w:szCs w:val="32"/>
          <w:rtl/>
          <w14:ligatures w14:val="none"/>
        </w:rPr>
        <w:t>فَيَقُولُ: بَلَى، إِنَّ لَكَ عِنْدَنَا حَسَنَةً؛ فَإِنَّهُ لَا ظُلْمَ عَلَيْكَ الْيَوْمَ، فَتَخْرُجُ بِطَاقَةٌ فِيهَا: "أَشْهَدُ أَنْ لَا إِلَهَ إِلَّا اللَّهُ، وَأَشْهَدُ أَنَّ مُحَمَّدًا عَبْدُهُ وَرَسُولُهُ". فَيَقُولُ: احْضُرْ وَزْنَكَ، فَيَقُولُ: يَا رَبِّ، مَا هَذِهِ الْبِطَاقَةُ مَعَ هَذِهِ السِّجِلَّاتِ؟ فَيُقَالُ: إِنَّكَ لَا تُظْلَمُ، فَتُوضَعُ السِّجِلَّاتُ فِي كِفَّةٍ، وَالْبِطَاقَةُ فِي كِفَّةٍ؛ فَطَاشَتِ السِّجِلَّاتُ، وَثَقُلَتِ الْبِطَاقَةُ، فَلَا يَثْقُلُ مَعَ اسْمِ اللَّهِ شَيْءٌ</w:t>
      </w:r>
      <w:r>
        <w:rPr>
          <w:rFonts w:ascii="Simplified Arabic" w:eastAsia="Times New Roman" w:hAnsi="Simplified Arabic" w:cs="Simplified Arabic"/>
          <w:kern w:val="0"/>
          <w:sz w:val="32"/>
          <w:szCs w:val="32"/>
          <w:rtl/>
          <w14:ligatures w14:val="none"/>
        </w:rPr>
        <w:t xml:space="preserve">» صَحِيحٌ – رَوَاهُ أَحْمَدُ وَالتِّرْمِذِيُّ. </w:t>
      </w:r>
    </w:p>
    <w:p w14:paraId="2E7615A1"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وَفِي حَدِيثٍ آخَرَ</w:t>
      </w:r>
      <w:r>
        <w:rPr>
          <w:rFonts w:ascii="Simplified Arabic" w:eastAsia="Times New Roman" w:hAnsi="Simplified Arabic" w:cs="Simplified Arabic"/>
          <w:kern w:val="0"/>
          <w:sz w:val="32"/>
          <w:szCs w:val="32"/>
          <w:rtl/>
          <w14:ligatures w14:val="none"/>
        </w:rPr>
        <w:t>: «</w:t>
      </w:r>
      <w:r>
        <w:rPr>
          <w:rFonts w:ascii="Simplified Arabic" w:eastAsia="Times New Roman" w:hAnsi="Simplified Arabic" w:cs="Simplified Arabic"/>
          <w:b/>
          <w:bCs/>
          <w:kern w:val="0"/>
          <w:sz w:val="32"/>
          <w:szCs w:val="32"/>
          <w:rtl/>
          <w14:ligatures w14:val="none"/>
        </w:rPr>
        <w:t>تُوضَعُ الْمَوَازِينُ يَوْمَ الْقِيَامَةِ، فَيُؤْتَى بِالرَّجُلِ فَيُوضَعُ فِي كِفَّةٍ، فَيُوضَعُ مَا أُحْصِيَ عَلَيْهِ، فَتَمَايَلَ بِهِ الْمِيزَانُ، قَالَ: فَيُبْعَثُ بِهِ إِلَى النَّارِ، قَالَ: فَإِذَا أُدْبِرَ بِهِ؛ إِذَا صَائِحٌ يَصِيحُ مِنْ عِنْدِ الرَّحْمَنِ يَقُولُ: لَا تَعْجَلُوا، لَا تَعْجَلُوا؛ فَإِنَّهُ قَدْ بَقِيَ لَهُ، فَيُؤْتَى بِبِطَاقَةٍ فِيهَا: "لَا إِلَهَ إِلَّا اللَّهُ" فَتُوضَعُ مَعَ الرَّجُلِ فِي كِفَّةٍ، حَتَّى يَمِيلَ بِهِ الْمِيزَانُ</w:t>
      </w:r>
      <w:r>
        <w:rPr>
          <w:rFonts w:ascii="Simplified Arabic" w:eastAsia="Times New Roman" w:hAnsi="Simplified Arabic" w:cs="Simplified Arabic"/>
          <w:kern w:val="0"/>
          <w:sz w:val="32"/>
          <w:szCs w:val="32"/>
          <w:rtl/>
          <w14:ligatures w14:val="none"/>
        </w:rPr>
        <w:t>» صَحِيحٌ – رَوَاهُ أَحْمَدُ. قَالَ ابْنُ أَبِي الْعِزِّ رَحِمَهُ اللَّهُ: (</w:t>
      </w:r>
      <w:r>
        <w:rPr>
          <w:rFonts w:ascii="Simplified Arabic" w:eastAsia="Times New Roman" w:hAnsi="Simplified Arabic" w:cs="Simplified Arabic"/>
          <w:b/>
          <w:bCs/>
          <w:color w:val="0070C0"/>
          <w:kern w:val="0"/>
          <w:sz w:val="32"/>
          <w:szCs w:val="32"/>
          <w:rtl/>
          <w14:ligatures w14:val="none"/>
        </w:rPr>
        <w:t>‌فَثَبَتَ</w:t>
      </w:r>
      <w:r>
        <w:rPr>
          <w:rFonts w:ascii="Simplified Arabic" w:eastAsia="Times New Roman" w:hAnsi="Simplified Arabic" w:cs="Simplified Arabic"/>
          <w:kern w:val="0"/>
          <w:sz w:val="32"/>
          <w:szCs w:val="32"/>
          <w:rtl/>
          <w14:ligatures w14:val="none"/>
        </w:rPr>
        <w:t xml:space="preserve">: ‌وَزْنُ ‌الْأَعْمَالِ، ‌وَالْعَامِلِ، وَصَحَائِفِ الْأَعْمَالِ، </w:t>
      </w:r>
      <w:r>
        <w:rPr>
          <w:rFonts w:ascii="Simplified Arabic" w:eastAsia="Times New Roman" w:hAnsi="Simplified Arabic" w:cs="Simplified Arabic"/>
          <w:b/>
          <w:bCs/>
          <w:color w:val="0070C0"/>
          <w:kern w:val="0"/>
          <w:sz w:val="32"/>
          <w:szCs w:val="32"/>
          <w:rtl/>
          <w14:ligatures w14:val="none"/>
        </w:rPr>
        <w:t>وَثَبَتَ</w:t>
      </w:r>
      <w:r>
        <w:rPr>
          <w:rFonts w:ascii="Simplified Arabic" w:eastAsia="Times New Roman" w:hAnsi="Simplified Arabic" w:cs="Simplified Arabic"/>
          <w:kern w:val="0"/>
          <w:sz w:val="32"/>
          <w:szCs w:val="32"/>
          <w:rtl/>
          <w14:ligatures w14:val="none"/>
        </w:rPr>
        <w:t xml:space="preserve">: أَنَّ الْمِيزَانَ لَهُ كِفَّتَانِ. وَاللَّهُ تَعَالَى أَعْلَمُ بِمَا وَرَاءَ ذَلِكَ مِنَ الْكَيْفِيَّاتِ. </w:t>
      </w:r>
      <w:r>
        <w:rPr>
          <w:rFonts w:ascii="Simplified Arabic" w:eastAsia="Times New Roman" w:hAnsi="Simplified Arabic" w:cs="Simplified Arabic"/>
          <w:b/>
          <w:bCs/>
          <w:color w:val="0070C0"/>
          <w:kern w:val="0"/>
          <w:sz w:val="32"/>
          <w:szCs w:val="32"/>
          <w:rtl/>
          <w14:ligatures w14:val="none"/>
        </w:rPr>
        <w:t>فَعَلَيْنَا</w:t>
      </w:r>
      <w:r>
        <w:rPr>
          <w:rFonts w:ascii="Simplified Arabic" w:eastAsia="Times New Roman" w:hAnsi="Simplified Arabic" w:cs="Simplified Arabic"/>
          <w:kern w:val="0"/>
          <w:sz w:val="32"/>
          <w:szCs w:val="32"/>
          <w:rtl/>
          <w14:ligatures w14:val="none"/>
        </w:rPr>
        <w:t xml:space="preserve">: الْإِيمَانُ بِالْغَيْبِ، كَمَا أَخْبَرَنَا الصَّادِقُ صَلَّى اللَّهُ عَلَيْهِ وَسَلَّمَ، مِنْ غَيْرِ زِيَادَةٍ وَلَا نُقْصَانٍ، </w:t>
      </w:r>
      <w:r>
        <w:rPr>
          <w:rFonts w:ascii="Simplified Arabic" w:eastAsia="Times New Roman" w:hAnsi="Simplified Arabic" w:cs="Simplified Arabic"/>
          <w:b/>
          <w:bCs/>
          <w:color w:val="C00000"/>
          <w:kern w:val="0"/>
          <w:sz w:val="32"/>
          <w:szCs w:val="32"/>
          <w:rtl/>
          <w14:ligatures w14:val="none"/>
        </w:rPr>
        <w:t>وَيَا خَيْبَةَ</w:t>
      </w:r>
      <w:r>
        <w:rPr>
          <w:rFonts w:ascii="Simplified Arabic" w:eastAsia="Times New Roman" w:hAnsi="Simplified Arabic" w:cs="Simplified Arabic"/>
          <w:kern w:val="0"/>
          <w:sz w:val="32"/>
          <w:szCs w:val="32"/>
          <w:rtl/>
          <w14:ligatures w14:val="none"/>
        </w:rPr>
        <w:t>: مَنْ يَنْفِي وَضْعَ الْمَوَازِينِ الْقِسْطِ لِيَوْمِ الْقِيَامَةِ - كَمَا أَخْبَرَ الشَّارِعُ؛ لِخَفَاءِ الْحِكْمَةِ عَلَيْهِ، وَيَقْدَحُ فِي النُّصُوصِ بِقَوْلِهِ: "لَا يَحْتَاجُ إِلَى الْمِيزَانِ إِلَّا الْبَقَّالُ وَالْفَوَّالُ"! وَمَا أَحَرَاهُ بِأَنْ يَكُونَ مِنَ الَّذِينَ لَا يُقِيمُ اللَّهُ لَهُمْ يَوْمَ الْقِيَامَةِ وَزْنًا)</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7"/>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w:t>
      </w:r>
    </w:p>
    <w:p w14:paraId="03289543" w14:textId="77777777" w:rsidR="00EE52B7" w:rsidRDefault="00EE52B7" w:rsidP="00EE52B7">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46F2E1AA"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Times New Roman" w:eastAsia="Times New Roman" w:hAnsi="Times New Roman" w:cs="Simplified Arabic"/>
          <w:kern w:val="0"/>
          <w:sz w:val="32"/>
          <w:szCs w:val="32"/>
          <w:rtl/>
          <w14:ligatures w14:val="none"/>
        </w:rPr>
        <w:t xml:space="preserve">الْحَمْدُ لِلَّهِ... أَيُّهَا الْمُسْلِمُونَ.. </w:t>
      </w:r>
      <w:r>
        <w:rPr>
          <w:rFonts w:ascii="Simplified Arabic" w:eastAsia="Times New Roman" w:hAnsi="Simplified Arabic" w:cs="Simplified Arabic"/>
          <w:b/>
          <w:bCs/>
          <w:color w:val="C00000"/>
          <w:kern w:val="0"/>
          <w:sz w:val="32"/>
          <w:szCs w:val="32"/>
          <w:rtl/>
          <w14:ligatures w14:val="none"/>
        </w:rPr>
        <w:t>وَمِنْ آثَارِ الْإِيمَانِ بِالْمِيزَانِ فِي يَوْمِ الْقِيَامَةِ</w:t>
      </w:r>
      <w:r>
        <w:rPr>
          <w:rFonts w:ascii="Simplified Arabic" w:eastAsia="Times New Roman" w:hAnsi="Simplified Arabic" w:cs="Simplified Arabic"/>
          <w:kern w:val="0"/>
          <w:sz w:val="32"/>
          <w:szCs w:val="32"/>
          <w:rtl/>
          <w14:ligatures w14:val="none"/>
        </w:rPr>
        <w:t xml:space="preserve">: </w:t>
      </w:r>
    </w:p>
    <w:p w14:paraId="6EC804AF"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الْحِرْصُ عَلَى الْأَعْمَالِ الصَّالِحَةِ الَّتِي تُثَقِّلُ الْمِيزَانَ</w:t>
      </w:r>
      <w:r>
        <w:rPr>
          <w:rFonts w:ascii="Simplified Arabic" w:eastAsia="Times New Roman" w:hAnsi="Simplified Arabic" w:cs="Simplified Arabic"/>
          <w:kern w:val="0"/>
          <w:sz w:val="32"/>
          <w:szCs w:val="32"/>
          <w:rtl/>
          <w14:ligatures w14:val="none"/>
        </w:rPr>
        <w:t>: قَالَ رَسُولُ اللَّهِ صَلَّى اللَّهُ عَلَيْهِ وَسَلَّمَ: «</w:t>
      </w:r>
      <w:r>
        <w:rPr>
          <w:rFonts w:ascii="Simplified Arabic" w:eastAsia="Times New Roman" w:hAnsi="Simplified Arabic" w:cs="Simplified Arabic"/>
          <w:b/>
          <w:bCs/>
          <w:kern w:val="0"/>
          <w:sz w:val="32"/>
          <w:szCs w:val="32"/>
          <w:rtl/>
          <w14:ligatures w14:val="none"/>
        </w:rPr>
        <w:t>كَلِمَتَانِ خَفِيفَتَانِ عَلَى اللِّسَانِ، ثَقِيلَتَانِ فِي الْمِيزَانِ، حَبِيبَتَانِ إِلَى الرَّحْمَنِ: سُبْحَانَ اللَّهِ الْعَظِيمِ، سُبْحَانَ اللَّهِ وَبِحَمْدِهِ</w:t>
      </w:r>
      <w:r>
        <w:rPr>
          <w:rFonts w:ascii="Simplified Arabic" w:eastAsia="Times New Roman" w:hAnsi="Simplified Arabic" w:cs="Simplified Arabic"/>
          <w:kern w:val="0"/>
          <w:sz w:val="32"/>
          <w:szCs w:val="32"/>
          <w:rtl/>
          <w14:ligatures w14:val="none"/>
        </w:rPr>
        <w:t xml:space="preserve">» رَوَاهُ الْبُخَارِيُّ وَمُسْلِمٌ. وَقَالَ صَلَّى </w:t>
      </w:r>
      <w:r>
        <w:rPr>
          <w:rFonts w:ascii="Simplified Arabic" w:eastAsia="Times New Roman" w:hAnsi="Simplified Arabic" w:cs="Simplified Arabic"/>
          <w:kern w:val="0"/>
          <w:sz w:val="32"/>
          <w:szCs w:val="32"/>
          <w:rtl/>
          <w14:ligatures w14:val="none"/>
        </w:rPr>
        <w:lastRenderedPageBreak/>
        <w:t>اللَّهُ عَلَيْهِ وَسَلَّمَ: «</w:t>
      </w:r>
      <w:r>
        <w:rPr>
          <w:rFonts w:ascii="Simplified Arabic" w:eastAsia="Times New Roman" w:hAnsi="Simplified Arabic" w:cs="Simplified Arabic"/>
          <w:b/>
          <w:bCs/>
          <w:kern w:val="0"/>
          <w:sz w:val="32"/>
          <w:szCs w:val="32"/>
          <w:rtl/>
          <w14:ligatures w14:val="none"/>
        </w:rPr>
        <w:t>مَا مِنْ شَيْءٍ أَثْقَلُ فِي الْمِيزَانِ مِنْ حُسْنِ الْخُلُقِ</w:t>
      </w:r>
      <w:r>
        <w:rPr>
          <w:rFonts w:ascii="Simplified Arabic" w:eastAsia="Times New Roman" w:hAnsi="Simplified Arabic" w:cs="Simplified Arabic"/>
          <w:kern w:val="0"/>
          <w:sz w:val="32"/>
          <w:szCs w:val="32"/>
          <w:rtl/>
          <w14:ligatures w14:val="none"/>
        </w:rPr>
        <w:t>» صَحِيحٌ – رَوَاهُ أَبُو دَاوُدَ. وَقَالَ صَلَّى اللَّهُ عَلَيْهِ وَسَلَّمَ: «</w:t>
      </w:r>
      <w:r>
        <w:rPr>
          <w:rFonts w:ascii="Simplified Arabic" w:eastAsia="Times New Roman" w:hAnsi="Simplified Arabic" w:cs="Simplified Arabic"/>
          <w:b/>
          <w:bCs/>
          <w:kern w:val="0"/>
          <w:sz w:val="32"/>
          <w:szCs w:val="32"/>
          <w:rtl/>
          <w14:ligatures w14:val="none"/>
        </w:rPr>
        <w:t>الطُّهُورُ شَطْرُ الْإِيمَانِ، وَالْحَمْدُ لِلَّهِ تَمْلَأُ الْمِيزَانَ</w:t>
      </w:r>
      <w:r>
        <w:rPr>
          <w:rFonts w:ascii="Simplified Arabic" w:eastAsia="Times New Roman" w:hAnsi="Simplified Arabic" w:cs="Simplified Arabic"/>
          <w:kern w:val="0"/>
          <w:sz w:val="32"/>
          <w:szCs w:val="32"/>
          <w:rtl/>
          <w14:ligatures w14:val="none"/>
        </w:rPr>
        <w:t>» رَوَاهُ مُسْلِمٌ. وَقَالَ عَلَيْهِ الصَّلَاةُ وَالسَّلَامُ: «</w:t>
      </w:r>
      <w:r>
        <w:rPr>
          <w:rFonts w:ascii="Simplified Arabic" w:eastAsia="Times New Roman" w:hAnsi="Simplified Arabic" w:cs="Simplified Arabic"/>
          <w:b/>
          <w:bCs/>
          <w:kern w:val="0"/>
          <w:sz w:val="32"/>
          <w:szCs w:val="32"/>
          <w:rtl/>
          <w14:ligatures w14:val="none"/>
        </w:rPr>
        <w:t>مَنِ احْتَبَسَ فَرَسًا فِي سَبِيلِ اللَّهِ، إِيمَانًا بِاللَّهِ وَتَصْدِيقًا بِوَعْدِهِ؛ فَإِنَّ شِبَعَهُ وَرِيَّهُ وَرَوْثَهُ وَبَوْلَهُ فِي مِيزَانِهِ يَوْمَ الْقِيَامَةِ</w:t>
      </w:r>
      <w:r>
        <w:rPr>
          <w:rFonts w:ascii="Simplified Arabic" w:eastAsia="Times New Roman" w:hAnsi="Simplified Arabic" w:cs="Simplified Arabic"/>
          <w:kern w:val="0"/>
          <w:sz w:val="32"/>
          <w:szCs w:val="32"/>
          <w:rtl/>
          <w14:ligatures w14:val="none"/>
        </w:rPr>
        <w:t>» رَوَاهُ الْبُخَارِيُّ.</w:t>
      </w:r>
    </w:p>
    <w:p w14:paraId="0A689AD3"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 الْمُحَافَظَةُ عَلَى الْحَسَنَاتِ مِمَّا يُبْطِلُهَا أَوْ يُنْقِصُهَا</w:t>
      </w:r>
      <w:r>
        <w:rPr>
          <w:rFonts w:ascii="Simplified Arabic" w:eastAsia="Times New Roman" w:hAnsi="Simplified Arabic" w:cs="Simplified Arabic"/>
          <w:kern w:val="0"/>
          <w:sz w:val="32"/>
          <w:szCs w:val="32"/>
          <w:rtl/>
          <w14:ligatures w14:val="none"/>
        </w:rPr>
        <w:t>: قَالَ رَسُولُ اللَّهِ صَلَّى اللَّهُ عَلَيْهِ وَسَلَّمَ: «</w:t>
      </w:r>
      <w:r>
        <w:rPr>
          <w:rFonts w:ascii="Simplified Arabic" w:eastAsia="Times New Roman" w:hAnsi="Simplified Arabic" w:cs="Simplified Arabic"/>
          <w:b/>
          <w:bCs/>
          <w:kern w:val="0"/>
          <w:sz w:val="32"/>
          <w:szCs w:val="32"/>
          <w:rtl/>
          <w14:ligatures w14:val="none"/>
        </w:rPr>
        <w:t>أَتَدْرُونَ مَا الْمُفْلِسُ</w:t>
      </w:r>
      <w:r>
        <w:rPr>
          <w:rFonts w:ascii="Simplified Arabic" w:eastAsia="Times New Roman" w:hAnsi="Simplified Arabic" w:cs="Simplified Arabic"/>
          <w:kern w:val="0"/>
          <w:sz w:val="32"/>
          <w:szCs w:val="32"/>
          <w:rtl/>
          <w14:ligatures w14:val="none"/>
        </w:rPr>
        <w:t>؟» قَالُوا: الْمُفْلِسُ فِينَا مَنْ لَا دِرْهَمَ لَهُ وَلَا مَتَاعَ. فَقَالَ: «</w:t>
      </w:r>
      <w:r>
        <w:rPr>
          <w:rFonts w:ascii="Simplified Arabic" w:eastAsia="Times New Roman" w:hAnsi="Simplified Arabic" w:cs="Simplified Arabic"/>
          <w:b/>
          <w:bCs/>
          <w:kern w:val="0"/>
          <w:sz w:val="32"/>
          <w:szCs w:val="32"/>
          <w:rtl/>
          <w14:ligatures w14:val="none"/>
        </w:rPr>
        <w:t>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 قَبْلَ أَنْ يُقْضَى مَا عَلَيْهِ؛ أُخِذَ مِنْ خَطَايَاهُمْ فَطُرِحَتْ عَلَيْهِ، ثُمَّ طُرِحَ فِي النَّارِ</w:t>
      </w:r>
      <w:r>
        <w:rPr>
          <w:rFonts w:ascii="Simplified Arabic" w:eastAsia="Times New Roman" w:hAnsi="Simplified Arabic" w:cs="Simplified Arabic"/>
          <w:kern w:val="0"/>
          <w:sz w:val="32"/>
          <w:szCs w:val="32"/>
          <w:rtl/>
          <w14:ligatures w14:val="none"/>
        </w:rPr>
        <w:t>» رَوَاهُ مُسْلِمٌ.</w:t>
      </w:r>
    </w:p>
    <w:p w14:paraId="6A083DD5"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إِظْهَارُ عَدْلِ اللَّهِ تَعَالَى، وَإِقَامَةُ الْحُجَّةِ عَلَى الْعِبَادِ</w:t>
      </w:r>
      <w:r>
        <w:rPr>
          <w:rFonts w:ascii="Simplified Arabic" w:eastAsia="Times New Roman" w:hAnsi="Simplified Arabic" w:cs="Simplified Arabic"/>
          <w:kern w:val="0"/>
          <w:sz w:val="32"/>
          <w:szCs w:val="32"/>
          <w:rtl/>
          <w14:ligatures w14:val="none"/>
        </w:rPr>
        <w:t>: قَالَ ابْنُ أَبِي الْعِزِّ رَحِمَهُ اللَّهُ: (وَلَوْ لَمْ يَكُنْ مِنَ الْحِكْمَةِ فِي وَزْنِ الْأَعْمَالِ إِلَّا ‌ظُهُورُ ‌عَدْلِهِ سُبْحَانَهُ لِجَمِيعِ عِبَادِهِ، فَلَا أَحَدَ أَحَبُّ إِلَيْهِ الْعُذْرُ مِنَ اللَّهِ)</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8"/>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وَقَالَ الْقُرْطُبِيُّ رَحِمَهُ اللَّهُ: (إِذَا ‌انْقَضَى ‌الْحِسَابُ كَانَ بَعْدَهُ وَزْنُ الْأَعْمَالِ؛ لِأَنَّ الْوَزْنَ لِلْجَزَاءِ، فَيَنْبَغِي أَنْ يَكُونَ بَعْدَ الْمُحَاسَبَةِ، فَإِنَّ الْمُحَاسَبَةَ لِتَقْرِيرِ الْأَعْمَالِ، وَالْوَزْنَ لِإِظْهَارِ مَقَادِيرِهَا؛ لِيَكُونَ الْجَزَاءُ بِحَسَبِهَا)</w:t>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vertAlign w:val="superscript"/>
          <w:rtl/>
          <w14:ligatures w14:val="none"/>
        </w:rPr>
        <w:footnoteReference w:id="9"/>
      </w:r>
      <w:r>
        <w:rPr>
          <w:rFonts w:ascii="Simplified Arabic" w:eastAsia="Times New Roman"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w:t>
      </w:r>
    </w:p>
    <w:p w14:paraId="59390286"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4- بَيَانُ حَالِ السُّعَدَاءِ مِنَ الْأَشْقِيَاءِ</w:t>
      </w:r>
      <w:r>
        <w:rPr>
          <w:rFonts w:ascii="Simplified Arabic" w:eastAsia="Times New Roman" w:hAnsi="Simplified Arabic" w:cs="Simplified Arabic"/>
          <w:kern w:val="0"/>
          <w:sz w:val="32"/>
          <w:szCs w:val="32"/>
          <w:rtl/>
          <w14:ligatures w14:val="none"/>
        </w:rPr>
        <w:t>: قَالَ تَعَالَى: {</w:t>
      </w:r>
      <w:r>
        <w:rPr>
          <w:rFonts w:ascii="Times New Roman" w:eastAsia="Times New Roman" w:hAnsi="Times New Roman" w:cs="Simplified Arabic"/>
          <w:b/>
          <w:bCs/>
          <w:color w:val="00B050"/>
          <w:sz w:val="32"/>
          <w:szCs w:val="32"/>
          <w:rtl/>
        </w:rPr>
        <w:t>فَأَمَّا مَنْ ثَقُلَتْ مَوَازِينُهُ * فَهُوَ فِي عِيشَةٍ رَاضِيَةٍ * وَأَمَّا مَنْ خَفَّتْ مَوَازِينُهُ * فَأُمُّهُ هَاوِيَةٌ * وَمَا أَدْرَاكَ مَا هِيَهْ * نَارٌ حَامِيَةٌ</w:t>
      </w:r>
      <w:r>
        <w:rPr>
          <w:rFonts w:ascii="Simplified Arabic" w:eastAsia="Times New Roman" w:hAnsi="Simplified Arabic" w:cs="Simplified Arabic"/>
          <w:kern w:val="0"/>
          <w:sz w:val="32"/>
          <w:szCs w:val="32"/>
          <w:rtl/>
          <w14:ligatures w14:val="none"/>
        </w:rPr>
        <w:t>} [الْقَارِعَةِ: 6-11].</w:t>
      </w:r>
    </w:p>
    <w:p w14:paraId="7B22A8F7"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الْمُسَارَعَةُ إِلَى الْخَيْرَاتِ، وَالِابْتِعَادُ عَنِ السَّيِّئَاتِ</w:t>
      </w:r>
      <w:r>
        <w:rPr>
          <w:rFonts w:ascii="Simplified Arabic" w:eastAsia="Times New Roman" w:hAnsi="Simplified Arabic" w:cs="Simplified Arabic"/>
          <w:kern w:val="0"/>
          <w:sz w:val="32"/>
          <w:szCs w:val="32"/>
          <w:rtl/>
          <w14:ligatures w14:val="none"/>
        </w:rPr>
        <w:t>: قَالَ النَّبِيُّ صَلَّى اللَّهُ عَلَيْهِ وَسَلَّمَ: «</w:t>
      </w:r>
      <w:r>
        <w:rPr>
          <w:rFonts w:ascii="Simplified Arabic" w:eastAsia="Times New Roman" w:hAnsi="Simplified Arabic" w:cs="Simplified Arabic"/>
          <w:b/>
          <w:bCs/>
          <w:kern w:val="0"/>
          <w:sz w:val="32"/>
          <w:szCs w:val="32"/>
          <w:rtl/>
          <w14:ligatures w14:val="none"/>
        </w:rPr>
        <w:t>إِنَّهُ لَيَأْتِي الرَّجُلُ الْعَظِيمُ السَّمِينُ</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0"/>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kern w:val="0"/>
          <w:sz w:val="32"/>
          <w:szCs w:val="32"/>
          <w:rtl/>
          <w14:ligatures w14:val="none"/>
        </w:rPr>
        <w:t xml:space="preserve"> يَوْمَ الْقِيَامَةِ لَا يَزِنُ عِنْدَ اللَّهِ جَنَاحَ بَعُوضَةٍ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وَقَالَ: اقْرَءُوا: {</w:t>
      </w:r>
      <w:r>
        <w:rPr>
          <w:rFonts w:ascii="Times New Roman" w:eastAsia="Times New Roman" w:hAnsi="Times New Roman" w:cs="Simplified Arabic"/>
          <w:b/>
          <w:bCs/>
          <w:color w:val="00B050"/>
          <w:sz w:val="32"/>
          <w:szCs w:val="32"/>
          <w:rtl/>
        </w:rPr>
        <w:t>فَلَا نُقِيمُ لَهُمْ يَوْمَ الْقِيَامَةِ وَزْنًا</w:t>
      </w:r>
      <w:r>
        <w:rPr>
          <w:rFonts w:ascii="Simplified Arabic" w:eastAsia="Times New Roman" w:hAnsi="Simplified Arabic" w:cs="Simplified Arabic"/>
          <w:kern w:val="0"/>
          <w:sz w:val="32"/>
          <w:szCs w:val="32"/>
          <w:rtl/>
          <w14:ligatures w14:val="none"/>
        </w:rPr>
        <w:t>} [الْكَهْفِ: 105]» رَوَاهُ الْبُخَارِيُّ؛</w:t>
      </w:r>
      <w:r>
        <w:rPr>
          <w:rFonts w:ascii="Simplified Arabic" w:eastAsia="Times New Roman" w:hAnsi="Simplified Arabic" w:cs="Simplified Arabic"/>
          <w:color w:val="C00000"/>
          <w:kern w:val="0"/>
          <w:sz w:val="32"/>
          <w:szCs w:val="32"/>
          <w:rtl/>
          <w14:ligatures w14:val="none"/>
        </w:rPr>
        <w:t xml:space="preserve"> أَيْ</w:t>
      </w:r>
      <w:r>
        <w:rPr>
          <w:rFonts w:ascii="Simplified Arabic" w:eastAsia="Times New Roman" w:hAnsi="Simplified Arabic" w:cs="Simplified Arabic"/>
          <w:kern w:val="0"/>
          <w:sz w:val="32"/>
          <w:szCs w:val="32"/>
          <w:rtl/>
          <w14:ligatures w14:val="none"/>
        </w:rPr>
        <w:t xml:space="preserve">: (لَا قِيمَةَ لَهُ، وَلَا قَدْرَ؛ إِذْ لَا عَمَلَ لَهُ يُوزَنُ، فَإِنَّ الْأَعْمَالَ هِيَ الَّتِي تُوزَنُ، </w:t>
      </w:r>
      <w:r>
        <w:rPr>
          <w:rFonts w:ascii="Simplified Arabic" w:eastAsia="Times New Roman" w:hAnsi="Simplified Arabic" w:cs="Simplified Arabic"/>
          <w:kern w:val="0"/>
          <w:sz w:val="32"/>
          <w:szCs w:val="32"/>
          <w:rtl/>
          <w14:ligatures w14:val="none"/>
        </w:rPr>
        <w:lastRenderedPageBreak/>
        <w:t>أَيْ: صِحَّتُهَا، لَا أَشْخَاصُ الْعَامِلِينَ)</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وَقَدْ قَالَ النَّبِيُّ صَلَّى اللَّهُ عَلَيْهِ وَسَلَّمَ – فِي شَأْنِ عَبْدِ اللَّهِ بْنِ مَسْعُودٍ رَضِيَ اللَّهُ عَنْهُ؛ لَمَّا ضَحِكَ الْقَوْمُ مِنْ دِقَّةِ سَاقَيْهِ: «</w:t>
      </w:r>
      <w:r>
        <w:rPr>
          <w:rFonts w:ascii="Simplified Arabic" w:eastAsia="Times New Roman" w:hAnsi="Simplified Arabic" w:cs="Simplified Arabic"/>
          <w:b/>
          <w:bCs/>
          <w:kern w:val="0"/>
          <w:sz w:val="32"/>
          <w:szCs w:val="32"/>
          <w:rtl/>
          <w14:ligatures w14:val="none"/>
        </w:rPr>
        <w:t>وَالَّذِي نَفْسِي بِيَدِهِ؛ لَهُمَا أَثْقَلُ فِي الْمِيزَانِ مِنْ أُحُدٍ</w:t>
      </w:r>
      <w:r>
        <w:rPr>
          <w:rFonts w:ascii="Simplified Arabic" w:eastAsia="Times New Roman" w:hAnsi="Simplified Arabic" w:cs="Simplified Arabic"/>
          <w:kern w:val="0"/>
          <w:sz w:val="32"/>
          <w:szCs w:val="32"/>
          <w:rtl/>
          <w14:ligatures w14:val="none"/>
        </w:rPr>
        <w:t>» حَسَنٌ – رَوَاهُ أَحْمَدُ؛ أَيِ: الْأَعْمَالُ الَّتِي عَمِلَ بِهَا أَثْقَلُ فِي الْمِيزَانِ، لَا أَنَّ سَاقَيْهِ تُوضَعَانِ فِي الْمِيزَانِ، وَلَا شَخْصَهُ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3"/>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7BB90735"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6- الْمُفْلِحُ حَقًّا مَنْ ثَقُلَ مِيزَانُهُ يَوْمَ الْقِيَامَةِ بِالْأَعْمَالِ الصَّالِحَةِ</w:t>
      </w:r>
      <w:r>
        <w:rPr>
          <w:rFonts w:ascii="Simplified Arabic" w:eastAsia="Times New Roman" w:hAnsi="Simplified Arabic" w:cs="Simplified Arabic"/>
          <w:kern w:val="0"/>
          <w:sz w:val="32"/>
          <w:szCs w:val="32"/>
          <w:rtl/>
          <w14:ligatures w14:val="none"/>
        </w:rPr>
        <w:t>: قَالَ تَعَالَى: {</w:t>
      </w:r>
      <w:r>
        <w:rPr>
          <w:rFonts w:ascii="Times New Roman" w:eastAsia="Times New Roman" w:hAnsi="Times New Roman" w:cs="Simplified Arabic"/>
          <w:b/>
          <w:bCs/>
          <w:color w:val="00B050"/>
          <w:kern w:val="0"/>
          <w:sz w:val="32"/>
          <w:szCs w:val="32"/>
          <w:rtl/>
          <w14:ligatures w14:val="none"/>
        </w:rPr>
        <w:t>فَمَنْ ثَقُلَتْ مَوَازِينُهُ فَأُولَئِكَ هُمُ الْمُفْلِحُونَ * وَمَنْ خَفَّتْ مَوَازِينُهُ فَأُوْلَئِكَ الَّذِينَ خَسِرُوا أَنْفُسَهُمْ بِمَا كَانُوا بِآيَاتِنَا يَظْلِمُونَ</w:t>
      </w:r>
      <w:r>
        <w:rPr>
          <w:rFonts w:ascii="Simplified Arabic" w:eastAsia="Times New Roman" w:hAnsi="Simplified Arabic" w:cs="Simplified Arabic"/>
          <w:kern w:val="0"/>
          <w:sz w:val="32"/>
          <w:szCs w:val="32"/>
          <w:rtl/>
          <w14:ligatures w14:val="none"/>
        </w:rPr>
        <w:t>} [الْأَعْرَافِ: 8، 9]؛ وَقَالَ سُبْحَانَهُ: {</w:t>
      </w:r>
      <w:r>
        <w:rPr>
          <w:rFonts w:ascii="Times New Roman" w:eastAsia="Times New Roman" w:hAnsi="Times New Roman" w:cs="Simplified Arabic"/>
          <w:b/>
          <w:bCs/>
          <w:color w:val="00B050"/>
          <w:sz w:val="32"/>
          <w:szCs w:val="32"/>
          <w:rtl/>
        </w:rPr>
        <w:t>وَمَنْ خَفَّتْ مَوَازِينُهُ فَأُوْلَئِكَ الَّذِينَ خَسِرُوا أَنْفُسَهُمْ فِي جَهَنَّمَ خَالِدُونَ * تَلْفَحُ وُجُوهَهُمُ النَّارُ وَهُمْ فِيهَا كَالِحُونَ</w:t>
      </w:r>
      <w:r>
        <w:rPr>
          <w:rFonts w:ascii="Simplified Arabic" w:eastAsia="Times New Roman" w:hAnsi="Simplified Arabic" w:cs="Simplified Arabic"/>
          <w:kern w:val="0"/>
          <w:sz w:val="32"/>
          <w:szCs w:val="32"/>
          <w:rtl/>
          <w14:ligatures w14:val="none"/>
        </w:rPr>
        <w:t>} [الْمُؤْمِنُونَ: 103، 104]، فَعِنْدَمَا تَطِيشُ الْمَوَازِينُ؛ يَفْرَحُ مَنْ وَجَدَ خَيْرًا مُحْضَرًا لَهُ، وَيَنْدَمُ الْمُفَرِّطُ عَلَى فِعْلِ السَّيِّئَاتِ؛ إِذَا رَآهُ مُثْبَتًا فِي كِتَابٍ لَا يُغَادِرُ صَغِيرَةً وَلَا كَبِيرَةً إِلَّا أَحْصَاهَا</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045689A6"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7- ضَرُورَةُ مُحَاسَبَةِ النَّفْسِ فِي الدُّنْيَا، وَوَزْنُ الْأَعْمَالِ بِمِيزَانِ الشَّرْعِ</w:t>
      </w:r>
      <w:r>
        <w:rPr>
          <w:rFonts w:ascii="Simplified Arabic" w:eastAsia="Times New Roman" w:hAnsi="Simplified Arabic" w:cs="Simplified Arabic"/>
          <w:kern w:val="0"/>
          <w:sz w:val="32"/>
          <w:szCs w:val="32"/>
          <w:rtl/>
          <w14:ligatures w14:val="none"/>
        </w:rPr>
        <w:t>: قَالَ عُمَرُ بْنُ الْخَطَّابِ رَضِيَ اللَّهُ عَنْهُ: «حَاسِبُوا أَنْفُسَكُمْ قَبْلَ أَنْ تُحَاسَبُوا، وَزِنُوا أَنْفُسَكُمْ ‌قَبْلَ ‌أَنْ ‌تُوزَنُوا؛ فَإِنَّهُ أَهْوَنُ عَلَيْكُمْ فِي الْحِسَابِ غَدًا أَنْ تُحَاسِبُوا أَنْفُسَكُمْ يَوْمَ الْقِيَامَةِ، وَتَزَيَّنُوا لِلْعَرْضِ الْأَكْبَرِ: {</w:t>
      </w:r>
      <w:r>
        <w:rPr>
          <w:rFonts w:ascii="Times New Roman" w:eastAsia="Times New Roman" w:hAnsi="Times New Roman" w:cs="Simplified Arabic"/>
          <w:b/>
          <w:bCs/>
          <w:color w:val="00B050"/>
          <w:sz w:val="32"/>
          <w:szCs w:val="32"/>
          <w:rtl/>
        </w:rPr>
        <w:t>يَوْمَئِذٍ تُعْرَضُونَ لَا تَخْفَى مِنْكُمْ خَافِيَةٌ</w:t>
      </w:r>
      <w:r>
        <w:rPr>
          <w:rFonts w:ascii="Simplified Arabic" w:eastAsia="Times New Roman" w:hAnsi="Simplified Arabic" w:cs="Simplified Arabic"/>
          <w:kern w:val="0"/>
          <w:sz w:val="32"/>
          <w:szCs w:val="32"/>
          <w:rtl/>
          <w14:ligatures w14:val="none"/>
        </w:rPr>
        <w:t>} [الْحَاقَّةِ: 18]»</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06EB4F7E" w14:textId="77777777" w:rsidR="00EE52B7" w:rsidRDefault="00EE52B7" w:rsidP="00EE52B7">
      <w:pPr>
        <w:spacing w:after="0" w:line="240" w:lineRule="auto"/>
        <w:ind w:firstLine="720"/>
        <w:jc w:val="both"/>
        <w:rPr>
          <w:rFonts w:ascii="Simplified Arabic" w:eastAsia="Times New Roman" w:hAnsi="Simplified Arabic" w:cs="Simplified Arabic"/>
          <w:kern w:val="0"/>
          <w:sz w:val="32"/>
          <w:szCs w:val="32"/>
          <w:rtl/>
          <w14:ligatures w14:val="none"/>
        </w:rPr>
      </w:pPr>
    </w:p>
    <w:p w14:paraId="0C55525E" w14:textId="77777777" w:rsidR="00EE52B7" w:rsidRDefault="00EE52B7" w:rsidP="00EE52B7">
      <w:pPr>
        <w:rPr>
          <w:rtl/>
        </w:rPr>
      </w:pPr>
    </w:p>
    <w:p w14:paraId="03B213FB" w14:textId="77777777" w:rsidR="003939E6" w:rsidRPr="008D172D" w:rsidRDefault="003939E6" w:rsidP="008D172D"/>
    <w:sectPr w:rsidR="003939E6" w:rsidRPr="008D172D"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316E" w14:textId="77777777" w:rsidR="009570F7" w:rsidRDefault="009570F7" w:rsidP="00177C41">
      <w:pPr>
        <w:spacing w:after="0" w:line="240" w:lineRule="auto"/>
      </w:pPr>
      <w:r>
        <w:separator/>
      </w:r>
    </w:p>
  </w:endnote>
  <w:endnote w:type="continuationSeparator" w:id="0">
    <w:p w14:paraId="64E19EA8" w14:textId="77777777" w:rsidR="009570F7" w:rsidRDefault="009570F7" w:rsidP="0017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F271" w14:textId="77777777" w:rsidR="009570F7" w:rsidRDefault="009570F7" w:rsidP="00177C41">
      <w:pPr>
        <w:spacing w:after="0" w:line="240" w:lineRule="auto"/>
      </w:pPr>
      <w:r>
        <w:separator/>
      </w:r>
    </w:p>
  </w:footnote>
  <w:footnote w:type="continuationSeparator" w:id="0">
    <w:p w14:paraId="0235693C" w14:textId="77777777" w:rsidR="009570F7" w:rsidRDefault="009570F7" w:rsidP="00177C41">
      <w:pPr>
        <w:spacing w:after="0" w:line="240" w:lineRule="auto"/>
      </w:pPr>
      <w:r>
        <w:continuationSeparator/>
      </w:r>
    </w:p>
  </w:footnote>
  <w:footnote w:id="1">
    <w:p w14:paraId="40459F77" w14:textId="77777777" w:rsidR="00EE52B7" w:rsidRDefault="00EE52B7" w:rsidP="00EE52B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المعجم الوسيط، (ص639).</w:t>
      </w:r>
    </w:p>
  </w:footnote>
  <w:footnote w:id="2">
    <w:p w14:paraId="4A035E5D" w14:textId="77777777" w:rsidR="00EE52B7" w:rsidRDefault="00EE52B7" w:rsidP="00EE52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(6/555)؛ فتح الباري، (5/156).</w:t>
      </w:r>
    </w:p>
  </w:footnote>
  <w:footnote w:id="3">
    <w:p w14:paraId="7E47F038" w14:textId="77777777" w:rsidR="00EE52B7" w:rsidRDefault="00EE52B7" w:rsidP="00EE52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الآجري في (الشريعة)، (3/1329)، (رقم: 895). وقال الألباني: (إسناده صحيح، وله حُكم الرَّفع). </w:t>
      </w:r>
    </w:p>
  </w:footnote>
  <w:footnote w:id="4">
    <w:p w14:paraId="28D79DC4" w14:textId="77777777" w:rsidR="00EE52B7" w:rsidRDefault="00EE52B7" w:rsidP="00EE52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البيهقي في (البعث والنشور)، (ص238)، (رقم: 368). </w:t>
      </w:r>
    </w:p>
  </w:footnote>
  <w:footnote w:id="5">
    <w:p w14:paraId="72CC20C5" w14:textId="77777777" w:rsidR="00EE52B7" w:rsidRDefault="00EE52B7" w:rsidP="00EE52B7">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إجماع السلف في الاعتقاد، (ص51). </w:t>
      </w:r>
    </w:p>
  </w:footnote>
  <w:footnote w:id="6">
    <w:p w14:paraId="1C122B17" w14:textId="77777777" w:rsidR="00EE52B7" w:rsidRDefault="00EE52B7" w:rsidP="00EE52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(13/538).</w:t>
      </w:r>
    </w:p>
  </w:footnote>
  <w:footnote w:id="7">
    <w:p w14:paraId="000BDF36" w14:textId="77777777" w:rsidR="00EE52B7" w:rsidRDefault="00EE52B7" w:rsidP="00EE52B7">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شرح العقيدة الطحاوية، </w:t>
      </w:r>
      <w:r>
        <w:rPr>
          <w:rFonts w:ascii="Simplified Arabic" w:hAnsi="Simplified Arabic" w:cs="Simplified Arabic"/>
          <w:rtl/>
        </w:rPr>
        <w:t>(2/613).</w:t>
      </w:r>
    </w:p>
  </w:footnote>
  <w:footnote w:id="8">
    <w:p w14:paraId="627EC387" w14:textId="77777777" w:rsidR="00EE52B7" w:rsidRDefault="00EE52B7" w:rsidP="00EE52B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العقيدة الطحاوية، (2/613).</w:t>
      </w:r>
    </w:p>
  </w:footnote>
  <w:footnote w:id="9">
    <w:p w14:paraId="341FF2A1" w14:textId="77777777" w:rsidR="00EE52B7" w:rsidRDefault="00EE52B7" w:rsidP="00EE52B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التذكرة بأحوال الموتى وأمور الآخرة، (ص715).</w:t>
      </w:r>
    </w:p>
  </w:footnote>
  <w:footnote w:id="10">
    <w:p w14:paraId="48ABD0C5" w14:textId="77777777" w:rsidR="00EE52B7" w:rsidRDefault="00EE52B7" w:rsidP="00EE52B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sidRPr="00BB3261">
        <w:rPr>
          <w:rFonts w:ascii="Simplified Arabic" w:hAnsi="Simplified Arabic" w:cs="Simplified Arabic"/>
          <w:b/>
          <w:bCs/>
          <w:color w:val="C00000"/>
          <w:rtl/>
        </w:rPr>
        <w:t>الرَّجُلُ الْعَظِيمُ السَّمِينُ</w:t>
      </w:r>
      <w:r>
        <w:rPr>
          <w:rFonts w:ascii="Simplified Arabic" w:hAnsi="Simplified Arabic" w:cs="Simplified Arabic"/>
          <w:rtl/>
        </w:rPr>
        <w:t>)؛ لكونه أَكُولًا شَرُوبًا مُتَمَتِّعًا بِلذَّات الحياة الدنيا.</w:t>
      </w:r>
    </w:p>
  </w:footnote>
  <w:footnote w:id="11">
    <w:p w14:paraId="0274FDF2" w14:textId="77777777" w:rsidR="00EE52B7" w:rsidRDefault="00EE52B7" w:rsidP="00EE52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sidRPr="00BB3261">
        <w:rPr>
          <w:rFonts w:ascii="Simplified Arabic" w:hAnsi="Simplified Arabic" w:cs="Simplified Arabic"/>
          <w:b/>
          <w:bCs/>
          <w:color w:val="C00000"/>
          <w:rtl/>
        </w:rPr>
        <w:t>لاَ يَزِنُ عِنْدَ اللَّهِ جَنَاحَ بَعُوضَةٍ</w:t>
      </w:r>
      <w:r>
        <w:rPr>
          <w:rFonts w:ascii="Simplified Arabic" w:hAnsi="Simplified Arabic" w:cs="Simplified Arabic"/>
          <w:rtl/>
        </w:rPr>
        <w:t>)؛ لعدم الإيمان والعمل الصالح، والوزن يومئذ إنما يكون للإيمان والعمل الصالح، لا للحم والشحم.</w:t>
      </w:r>
    </w:p>
  </w:footnote>
  <w:footnote w:id="12">
    <w:p w14:paraId="5D3EE15D" w14:textId="77777777" w:rsidR="00EE52B7" w:rsidRDefault="00EE52B7" w:rsidP="00EE52B7">
      <w:pPr>
        <w:spacing w:after="0" w:line="240" w:lineRule="auto"/>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eastAsia="Times New Roman" w:hAnsi="Simplified Arabic" w:cs="Simplified Arabic"/>
          <w:kern w:val="0"/>
          <w:sz w:val="20"/>
          <w:szCs w:val="20"/>
          <w:rtl/>
          <w14:ligatures w14:val="none"/>
        </w:rPr>
        <w:t>المفهم لما أشكل من تلخيص كتاب مسلم، (7/ 359).</w:t>
      </w:r>
    </w:p>
  </w:footnote>
  <w:footnote w:id="13">
    <w:p w14:paraId="50588C52" w14:textId="77777777" w:rsidR="00EE52B7" w:rsidRDefault="00EE52B7" w:rsidP="00EE52B7">
      <w:pPr>
        <w:spacing w:after="0" w:line="240" w:lineRule="auto"/>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انظر: </w:t>
      </w:r>
      <w:r>
        <w:rPr>
          <w:rFonts w:ascii="Simplified Arabic" w:eastAsia="Times New Roman" w:hAnsi="Simplified Arabic" w:cs="Simplified Arabic"/>
          <w:kern w:val="0"/>
          <w:sz w:val="20"/>
          <w:szCs w:val="20"/>
          <w:rtl/>
          <w14:ligatures w14:val="none"/>
        </w:rPr>
        <w:t>المفهم لما أشكل من تلخيص كتاب مسلم، (7/ 359).</w:t>
      </w:r>
    </w:p>
  </w:footnote>
  <w:footnote w:id="14">
    <w:p w14:paraId="700C06F8" w14:textId="77777777" w:rsidR="00EE52B7" w:rsidRDefault="00EE52B7" w:rsidP="00EE52B7">
      <w:pPr>
        <w:pStyle w:val="aa"/>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انظر: المفلحون في القرآن الكريم، د. بدر البدر (ص259).</w:t>
      </w:r>
    </w:p>
  </w:footnote>
  <w:footnote w:id="15">
    <w:p w14:paraId="1874487D" w14:textId="77777777" w:rsidR="00EE52B7" w:rsidRDefault="00EE52B7" w:rsidP="00EE52B7">
      <w:pPr>
        <w:spacing w:after="0" w:line="240" w:lineRule="auto"/>
        <w:jc w:val="both"/>
        <w:rPr>
          <w:rFonts w:ascii="Simplified Arabic" w:eastAsia="Times New Roman" w:hAnsi="Simplified Arabic" w:cs="Simplified Arabic"/>
          <w:kern w:val="0"/>
          <w:sz w:val="20"/>
          <w:szCs w:val="20"/>
          <w14:ligatures w14:val="none"/>
        </w:rPr>
      </w:pPr>
      <w:r>
        <w:rPr>
          <w:rStyle w:val="ab"/>
          <w:rtl/>
        </w:rPr>
        <w:t>(</w:t>
      </w:r>
      <w:r>
        <w:rPr>
          <w:rStyle w:val="ab"/>
          <w:rtl/>
        </w:rPr>
        <w:footnoteRef/>
      </w:r>
      <w:r>
        <w:rPr>
          <w:rStyle w:val="ab"/>
          <w:rtl/>
        </w:rPr>
        <w:t>)</w:t>
      </w:r>
      <w:r>
        <w:rPr>
          <w:rtl/>
        </w:rPr>
        <w:t xml:space="preserve"> </w:t>
      </w:r>
      <w:r>
        <w:rPr>
          <w:rFonts w:ascii="Simplified Arabic" w:eastAsia="Times New Roman" w:hAnsi="Simplified Arabic" w:cs="Simplified Arabic"/>
          <w:kern w:val="0"/>
          <w:sz w:val="20"/>
          <w:szCs w:val="20"/>
          <w:rtl/>
          <w14:ligatures w14:val="none"/>
        </w:rPr>
        <w:t>رواه ابن المبارك في (الزهد)، (ص103)؛ وابن أبي الدنيا في (محاسبة النفس)، (ص22)؛ والآجري في (أدب النفوس)، (ص269)؛ وأبو نعيم في (الحلية)، (1/52). وقال الألباني: (موقوف - وصَلَه أبو نعيمٍ في (حلية الأولياء)، وإسناده جيد). انظر: سلسلة الأحاديث الضعيفة، (3/346).</w:t>
      </w:r>
    </w:p>
    <w:p w14:paraId="400DA892" w14:textId="77777777" w:rsidR="00EE52B7" w:rsidRDefault="00EE52B7" w:rsidP="00EE52B7">
      <w:pPr>
        <w:pStyle w:val="aa"/>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7"/>
    <w:rsid w:val="00003E36"/>
    <w:rsid w:val="000044B7"/>
    <w:rsid w:val="00011FA8"/>
    <w:rsid w:val="00015A89"/>
    <w:rsid w:val="00041DAE"/>
    <w:rsid w:val="00047E58"/>
    <w:rsid w:val="0006403F"/>
    <w:rsid w:val="00071301"/>
    <w:rsid w:val="00073291"/>
    <w:rsid w:val="00090304"/>
    <w:rsid w:val="000A3A5A"/>
    <w:rsid w:val="000B2639"/>
    <w:rsid w:val="000F5E42"/>
    <w:rsid w:val="00127D50"/>
    <w:rsid w:val="0013318D"/>
    <w:rsid w:val="0014260B"/>
    <w:rsid w:val="00172737"/>
    <w:rsid w:val="00177C41"/>
    <w:rsid w:val="001B308E"/>
    <w:rsid w:val="001C074F"/>
    <w:rsid w:val="001D63BA"/>
    <w:rsid w:val="001F14E9"/>
    <w:rsid w:val="002478BD"/>
    <w:rsid w:val="002561CB"/>
    <w:rsid w:val="00282F1D"/>
    <w:rsid w:val="002B539C"/>
    <w:rsid w:val="00307922"/>
    <w:rsid w:val="00321357"/>
    <w:rsid w:val="003325F7"/>
    <w:rsid w:val="00334CA2"/>
    <w:rsid w:val="00337424"/>
    <w:rsid w:val="00365275"/>
    <w:rsid w:val="003928DD"/>
    <w:rsid w:val="003939E6"/>
    <w:rsid w:val="003B1D23"/>
    <w:rsid w:val="003C570C"/>
    <w:rsid w:val="003D14CD"/>
    <w:rsid w:val="003F428D"/>
    <w:rsid w:val="0040359B"/>
    <w:rsid w:val="00437308"/>
    <w:rsid w:val="00450F95"/>
    <w:rsid w:val="004976D5"/>
    <w:rsid w:val="004B60EA"/>
    <w:rsid w:val="004C0F86"/>
    <w:rsid w:val="004E29EB"/>
    <w:rsid w:val="00516CD2"/>
    <w:rsid w:val="00525AAB"/>
    <w:rsid w:val="00526427"/>
    <w:rsid w:val="00544562"/>
    <w:rsid w:val="00570E13"/>
    <w:rsid w:val="00581FB6"/>
    <w:rsid w:val="005927E1"/>
    <w:rsid w:val="005B6829"/>
    <w:rsid w:val="005E7F6A"/>
    <w:rsid w:val="0060386D"/>
    <w:rsid w:val="00605F57"/>
    <w:rsid w:val="00607E24"/>
    <w:rsid w:val="0062633D"/>
    <w:rsid w:val="00630241"/>
    <w:rsid w:val="0066540C"/>
    <w:rsid w:val="00694871"/>
    <w:rsid w:val="006B2C27"/>
    <w:rsid w:val="006B7C01"/>
    <w:rsid w:val="006E4FD9"/>
    <w:rsid w:val="006F48BA"/>
    <w:rsid w:val="007110D5"/>
    <w:rsid w:val="007126FE"/>
    <w:rsid w:val="00752E0F"/>
    <w:rsid w:val="00753618"/>
    <w:rsid w:val="007736D0"/>
    <w:rsid w:val="007D437E"/>
    <w:rsid w:val="007F1732"/>
    <w:rsid w:val="007F2D27"/>
    <w:rsid w:val="007F58E8"/>
    <w:rsid w:val="0080034A"/>
    <w:rsid w:val="00803017"/>
    <w:rsid w:val="0084570B"/>
    <w:rsid w:val="00875E9C"/>
    <w:rsid w:val="00890EBB"/>
    <w:rsid w:val="008979A2"/>
    <w:rsid w:val="008B2B79"/>
    <w:rsid w:val="008B2D0F"/>
    <w:rsid w:val="008D172D"/>
    <w:rsid w:val="00934813"/>
    <w:rsid w:val="00943ADA"/>
    <w:rsid w:val="00945C44"/>
    <w:rsid w:val="009509DB"/>
    <w:rsid w:val="00952901"/>
    <w:rsid w:val="00952915"/>
    <w:rsid w:val="009570F7"/>
    <w:rsid w:val="009A2826"/>
    <w:rsid w:val="009B363C"/>
    <w:rsid w:val="009D163C"/>
    <w:rsid w:val="009D2D0B"/>
    <w:rsid w:val="00A2159F"/>
    <w:rsid w:val="00A23388"/>
    <w:rsid w:val="00A66ECB"/>
    <w:rsid w:val="00A81FBC"/>
    <w:rsid w:val="00A83895"/>
    <w:rsid w:val="00A8712E"/>
    <w:rsid w:val="00AD4CB2"/>
    <w:rsid w:val="00AF1E94"/>
    <w:rsid w:val="00B04B7A"/>
    <w:rsid w:val="00B136B6"/>
    <w:rsid w:val="00B26675"/>
    <w:rsid w:val="00B47F27"/>
    <w:rsid w:val="00B52CFF"/>
    <w:rsid w:val="00B661A6"/>
    <w:rsid w:val="00B71C92"/>
    <w:rsid w:val="00B77388"/>
    <w:rsid w:val="00B8154D"/>
    <w:rsid w:val="00B851DB"/>
    <w:rsid w:val="00BB3261"/>
    <w:rsid w:val="00BF7BFD"/>
    <w:rsid w:val="00C05D7D"/>
    <w:rsid w:val="00C10E9F"/>
    <w:rsid w:val="00C14760"/>
    <w:rsid w:val="00C27A31"/>
    <w:rsid w:val="00C45918"/>
    <w:rsid w:val="00C64CE3"/>
    <w:rsid w:val="00C7503E"/>
    <w:rsid w:val="00C84054"/>
    <w:rsid w:val="00CB2381"/>
    <w:rsid w:val="00CD125F"/>
    <w:rsid w:val="00CD356B"/>
    <w:rsid w:val="00CE3CEE"/>
    <w:rsid w:val="00CF2FB1"/>
    <w:rsid w:val="00CF4AB7"/>
    <w:rsid w:val="00CF751E"/>
    <w:rsid w:val="00D11D1F"/>
    <w:rsid w:val="00D1639E"/>
    <w:rsid w:val="00D4018F"/>
    <w:rsid w:val="00D43BA3"/>
    <w:rsid w:val="00D6084C"/>
    <w:rsid w:val="00D61B1D"/>
    <w:rsid w:val="00D66DA2"/>
    <w:rsid w:val="00D845A6"/>
    <w:rsid w:val="00DB7F7C"/>
    <w:rsid w:val="00DC4DB9"/>
    <w:rsid w:val="00DD154F"/>
    <w:rsid w:val="00DF3D96"/>
    <w:rsid w:val="00E24847"/>
    <w:rsid w:val="00E56247"/>
    <w:rsid w:val="00E72B64"/>
    <w:rsid w:val="00E8044B"/>
    <w:rsid w:val="00E85CCA"/>
    <w:rsid w:val="00E90A74"/>
    <w:rsid w:val="00E92158"/>
    <w:rsid w:val="00E94B85"/>
    <w:rsid w:val="00EB5FCE"/>
    <w:rsid w:val="00ED6CA3"/>
    <w:rsid w:val="00EE034C"/>
    <w:rsid w:val="00EE52B7"/>
    <w:rsid w:val="00F04BB1"/>
    <w:rsid w:val="00F50546"/>
    <w:rsid w:val="00F604A3"/>
    <w:rsid w:val="00F63F6E"/>
    <w:rsid w:val="00FE7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9612"/>
  <w15:chartTrackingRefBased/>
  <w15:docId w15:val="{F3DF9D51-1D67-44E0-8688-670089AA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2B7"/>
    <w:pPr>
      <w:bidi/>
      <w:spacing w:line="256" w:lineRule="auto"/>
    </w:pPr>
  </w:style>
  <w:style w:type="paragraph" w:styleId="1">
    <w:name w:val="heading 1"/>
    <w:basedOn w:val="a"/>
    <w:next w:val="a"/>
    <w:link w:val="1Char"/>
    <w:uiPriority w:val="9"/>
    <w:qFormat/>
    <w:rsid w:val="00B47F2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47F2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47F27"/>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47F27"/>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47F27"/>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47F27"/>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7F27"/>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7F27"/>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7F27"/>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47F2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47F2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47F2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47F2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47F27"/>
    <w:rPr>
      <w:rFonts w:eastAsiaTheme="majorEastAsia" w:cstheme="majorBidi"/>
      <w:color w:val="2F5496" w:themeColor="accent1" w:themeShade="BF"/>
    </w:rPr>
  </w:style>
  <w:style w:type="character" w:customStyle="1" w:styleId="6Char">
    <w:name w:val="عنوان 6 Char"/>
    <w:basedOn w:val="a0"/>
    <w:link w:val="6"/>
    <w:uiPriority w:val="9"/>
    <w:semiHidden/>
    <w:rsid w:val="00B47F27"/>
    <w:rPr>
      <w:rFonts w:eastAsiaTheme="majorEastAsia" w:cstheme="majorBidi"/>
      <w:i/>
      <w:iCs/>
      <w:color w:val="595959" w:themeColor="text1" w:themeTint="A6"/>
    </w:rPr>
  </w:style>
  <w:style w:type="character" w:customStyle="1" w:styleId="7Char">
    <w:name w:val="عنوان 7 Char"/>
    <w:basedOn w:val="a0"/>
    <w:link w:val="7"/>
    <w:uiPriority w:val="9"/>
    <w:semiHidden/>
    <w:rsid w:val="00B47F27"/>
    <w:rPr>
      <w:rFonts w:eastAsiaTheme="majorEastAsia" w:cstheme="majorBidi"/>
      <w:color w:val="595959" w:themeColor="text1" w:themeTint="A6"/>
    </w:rPr>
  </w:style>
  <w:style w:type="character" w:customStyle="1" w:styleId="8Char">
    <w:name w:val="عنوان 8 Char"/>
    <w:basedOn w:val="a0"/>
    <w:link w:val="8"/>
    <w:uiPriority w:val="9"/>
    <w:semiHidden/>
    <w:rsid w:val="00B47F27"/>
    <w:rPr>
      <w:rFonts w:eastAsiaTheme="majorEastAsia" w:cstheme="majorBidi"/>
      <w:i/>
      <w:iCs/>
      <w:color w:val="272727" w:themeColor="text1" w:themeTint="D8"/>
    </w:rPr>
  </w:style>
  <w:style w:type="character" w:customStyle="1" w:styleId="9Char">
    <w:name w:val="عنوان 9 Char"/>
    <w:basedOn w:val="a0"/>
    <w:link w:val="9"/>
    <w:uiPriority w:val="9"/>
    <w:semiHidden/>
    <w:rsid w:val="00B47F27"/>
    <w:rPr>
      <w:rFonts w:eastAsiaTheme="majorEastAsia" w:cstheme="majorBidi"/>
      <w:color w:val="272727" w:themeColor="text1" w:themeTint="D8"/>
    </w:rPr>
  </w:style>
  <w:style w:type="paragraph" w:styleId="a3">
    <w:name w:val="Title"/>
    <w:basedOn w:val="a"/>
    <w:next w:val="a"/>
    <w:link w:val="Char"/>
    <w:uiPriority w:val="10"/>
    <w:qFormat/>
    <w:rsid w:val="00B4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47F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7F2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47F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7F27"/>
    <w:pPr>
      <w:spacing w:before="160"/>
      <w:jc w:val="center"/>
    </w:pPr>
    <w:rPr>
      <w:i/>
      <w:iCs/>
      <w:color w:val="404040" w:themeColor="text1" w:themeTint="BF"/>
    </w:rPr>
  </w:style>
  <w:style w:type="character" w:customStyle="1" w:styleId="Char1">
    <w:name w:val="اقتباس Char"/>
    <w:basedOn w:val="a0"/>
    <w:link w:val="a5"/>
    <w:uiPriority w:val="29"/>
    <w:rsid w:val="00B47F27"/>
    <w:rPr>
      <w:i/>
      <w:iCs/>
      <w:color w:val="404040" w:themeColor="text1" w:themeTint="BF"/>
    </w:rPr>
  </w:style>
  <w:style w:type="paragraph" w:styleId="a6">
    <w:name w:val="List Paragraph"/>
    <w:basedOn w:val="a"/>
    <w:uiPriority w:val="34"/>
    <w:qFormat/>
    <w:rsid w:val="00B47F27"/>
    <w:pPr>
      <w:ind w:left="720"/>
      <w:contextualSpacing/>
    </w:pPr>
  </w:style>
  <w:style w:type="character" w:styleId="a7">
    <w:name w:val="Intense Emphasis"/>
    <w:basedOn w:val="a0"/>
    <w:uiPriority w:val="21"/>
    <w:qFormat/>
    <w:rsid w:val="00B47F27"/>
    <w:rPr>
      <w:i/>
      <w:iCs/>
      <w:color w:val="2F5496" w:themeColor="accent1" w:themeShade="BF"/>
    </w:rPr>
  </w:style>
  <w:style w:type="paragraph" w:styleId="a8">
    <w:name w:val="Intense Quote"/>
    <w:basedOn w:val="a"/>
    <w:next w:val="a"/>
    <w:link w:val="Char2"/>
    <w:uiPriority w:val="30"/>
    <w:qFormat/>
    <w:rsid w:val="00B47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47F27"/>
    <w:rPr>
      <w:i/>
      <w:iCs/>
      <w:color w:val="2F5496" w:themeColor="accent1" w:themeShade="BF"/>
    </w:rPr>
  </w:style>
  <w:style w:type="character" w:styleId="a9">
    <w:name w:val="Intense Reference"/>
    <w:basedOn w:val="a0"/>
    <w:uiPriority w:val="32"/>
    <w:qFormat/>
    <w:rsid w:val="00B47F27"/>
    <w:rPr>
      <w:b/>
      <w:bCs/>
      <w:smallCaps/>
      <w:color w:val="2F5496" w:themeColor="accent1" w:themeShade="BF"/>
      <w:spacing w:val="5"/>
    </w:rPr>
  </w:style>
  <w:style w:type="paragraph" w:styleId="aa">
    <w:name w:val="footnote text"/>
    <w:basedOn w:val="a"/>
    <w:link w:val="Char3"/>
    <w:uiPriority w:val="99"/>
    <w:semiHidden/>
    <w:unhideWhenUsed/>
    <w:rsid w:val="00177C41"/>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a"/>
    <w:uiPriority w:val="99"/>
    <w:semiHidden/>
    <w:rsid w:val="00177C41"/>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177C41"/>
    <w:rPr>
      <w:vertAlign w:val="superscript"/>
    </w:rPr>
  </w:style>
  <w:style w:type="character" w:styleId="Hyperlink">
    <w:name w:val="Hyperlink"/>
    <w:basedOn w:val="a0"/>
    <w:uiPriority w:val="99"/>
    <w:unhideWhenUsed/>
    <w:rsid w:val="00CE3CEE"/>
    <w:rPr>
      <w:color w:val="0563C1" w:themeColor="hyperlink"/>
      <w:u w:val="single"/>
    </w:rPr>
  </w:style>
  <w:style w:type="character" w:styleId="ac">
    <w:name w:val="Unresolved Mention"/>
    <w:basedOn w:val="a0"/>
    <w:uiPriority w:val="99"/>
    <w:semiHidden/>
    <w:unhideWhenUsed/>
    <w:rsid w:val="00CE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70250">
      <w:bodyDiv w:val="1"/>
      <w:marLeft w:val="0"/>
      <w:marRight w:val="0"/>
      <w:marTop w:val="0"/>
      <w:marBottom w:val="0"/>
      <w:divBdr>
        <w:top w:val="none" w:sz="0" w:space="0" w:color="auto"/>
        <w:left w:val="none" w:sz="0" w:space="0" w:color="auto"/>
        <w:bottom w:val="none" w:sz="0" w:space="0" w:color="auto"/>
        <w:right w:val="none" w:sz="0" w:space="0" w:color="auto"/>
      </w:divBdr>
    </w:div>
    <w:div w:id="882518940">
      <w:bodyDiv w:val="1"/>
      <w:marLeft w:val="0"/>
      <w:marRight w:val="0"/>
      <w:marTop w:val="0"/>
      <w:marBottom w:val="0"/>
      <w:divBdr>
        <w:top w:val="none" w:sz="0" w:space="0" w:color="auto"/>
        <w:left w:val="none" w:sz="0" w:space="0" w:color="auto"/>
        <w:bottom w:val="none" w:sz="0" w:space="0" w:color="auto"/>
        <w:right w:val="none" w:sz="0" w:space="0" w:color="auto"/>
      </w:divBdr>
    </w:div>
    <w:div w:id="10164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2485</TotalTime>
  <Pages>4</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150</cp:revision>
  <dcterms:created xsi:type="dcterms:W3CDTF">2025-07-09T12:18:00Z</dcterms:created>
  <dcterms:modified xsi:type="dcterms:W3CDTF">2025-07-13T01:46:00Z</dcterms:modified>
</cp:coreProperties>
</file>